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384C" w14:textId="03FCAA7B" w:rsidR="009A23B1" w:rsidRPr="008E5E2F" w:rsidRDefault="003A5EBA" w:rsidP="008E5E2F">
      <w:pPr>
        <w:pStyle w:val="Titel"/>
      </w:pPr>
      <w:r>
        <w:t xml:space="preserve">NURBS, </w:t>
      </w:r>
      <w:r w:rsidR="00831BC1">
        <w:t>Grundlage für Animationsfilme</w:t>
      </w:r>
    </w:p>
    <w:p w14:paraId="7D6EC387" w14:textId="77777777" w:rsidR="009A23B1" w:rsidRDefault="006930D7" w:rsidP="008E5E2F">
      <w:pPr>
        <w:pStyle w:val="Autor"/>
      </w:pPr>
      <w:r>
        <w:t>Dörte Haftendorn</w:t>
      </w:r>
    </w:p>
    <w:p w14:paraId="1D4FFF11" w14:textId="5FD41281" w:rsidR="009A23B1" w:rsidRPr="00856882" w:rsidRDefault="009A23B1" w:rsidP="00EF6DFE">
      <w:pPr>
        <w:pStyle w:val="Abstract"/>
        <w:rPr>
          <w:b/>
          <w:sz w:val="20"/>
          <w:szCs w:val="20"/>
        </w:rPr>
      </w:pPr>
      <w:r w:rsidRPr="003571C3">
        <w:rPr>
          <w:bCs/>
        </w:rPr>
        <w:t>Zusammenfassung</w:t>
      </w:r>
      <w:r w:rsidR="006930D7">
        <w:rPr>
          <w:b/>
        </w:rPr>
        <w:t xml:space="preserve">: </w:t>
      </w:r>
      <w:r w:rsidR="00856882">
        <w:t xml:space="preserve">Die Anbindung der mathematischen Ausbildung an die „Mathematik in unserer Welt“ wird mit </w:t>
      </w:r>
      <w:r w:rsidR="00E30C97">
        <w:t xml:space="preserve">Recht </w:t>
      </w:r>
      <w:r w:rsidR="00856882">
        <w:t xml:space="preserve">immer wieder gefordert. </w:t>
      </w:r>
      <w:r w:rsidR="00EE0B0D">
        <w:t>Oft scheinen die praktizierten Methoden für Schule und Lehramtsausbildung zu kompliziert zu sein. Zu Bézier-Splines aber gibt es ein (bekanntes) zeichnerisches Gerüst, das mit DGS überzeugt und hier nochmals vorgestellt wird. Die dort wesentlichen Bernsteinpo</w:t>
      </w:r>
      <w:r w:rsidR="00AF5445">
        <w:t>l</w:t>
      </w:r>
      <w:r w:rsidR="00EE0B0D">
        <w:t xml:space="preserve">ynome bilden den </w:t>
      </w:r>
      <w:r w:rsidR="00AF5445">
        <w:t>Einstieg in das Konzept der B-Splines, die nicht nur leicht auf beliebig viele Steuerpunkte ausgedehnt werden können</w:t>
      </w:r>
      <w:r w:rsidR="000C2D89">
        <w:t xml:space="preserve"> (siehe Abb. 1</w:t>
      </w:r>
      <w:r w:rsidR="004633A7">
        <w:t>a)</w:t>
      </w:r>
      <w:r w:rsidR="000C2D89">
        <w:t>)</w:t>
      </w:r>
      <w:r w:rsidR="00AF5445">
        <w:t xml:space="preserve">, sondern sie können durch Gewichtungen zu rationalen B-Splines ausgebaut werden und ihre „Knoten“ (Intervallgrenzen) dürfen beliebige Abstände haben. Das Akronym NURBS sagt genau dies: </w:t>
      </w:r>
      <w:r w:rsidR="00AF5445" w:rsidRPr="003571C3">
        <w:rPr>
          <w:b/>
          <w:bCs/>
        </w:rPr>
        <w:t>N</w:t>
      </w:r>
      <w:r w:rsidR="00AF5445">
        <w:t xml:space="preserve">on </w:t>
      </w:r>
      <w:r w:rsidR="00AF5445" w:rsidRPr="003571C3">
        <w:rPr>
          <w:b/>
          <w:bCs/>
        </w:rPr>
        <w:t>U</w:t>
      </w:r>
      <w:r w:rsidR="00AF5445">
        <w:t xml:space="preserve">nform </w:t>
      </w:r>
      <w:r w:rsidR="00AF5445" w:rsidRPr="003571C3">
        <w:rPr>
          <w:b/>
          <w:bCs/>
        </w:rPr>
        <w:t>R</w:t>
      </w:r>
      <w:r w:rsidR="00AF5445">
        <w:t xml:space="preserve">ational </w:t>
      </w:r>
      <w:r w:rsidR="00AF5445" w:rsidRPr="003571C3">
        <w:rPr>
          <w:b/>
          <w:bCs/>
        </w:rPr>
        <w:t>B</w:t>
      </w:r>
      <w:r w:rsidR="00AF5445">
        <w:t>-</w:t>
      </w:r>
      <w:r w:rsidR="00AF5445" w:rsidRPr="003571C3">
        <w:rPr>
          <w:b/>
          <w:bCs/>
        </w:rPr>
        <w:t>S</w:t>
      </w:r>
      <w:r w:rsidR="00AF5445">
        <w:t>plines. Am Beispiel</w:t>
      </w:r>
      <w:r w:rsidR="00EF6DFE">
        <w:t xml:space="preserve"> der</w:t>
      </w:r>
      <w:r w:rsidR="00AF5445">
        <w:t xml:space="preserve"> </w:t>
      </w:r>
      <w:r w:rsidR="003571C3">
        <w:t xml:space="preserve">Trisektrix und ihrer </w:t>
      </w:r>
      <w:r w:rsidR="00AF5445">
        <w:t>Metamo</w:t>
      </w:r>
      <w:r w:rsidR="00EF6DFE">
        <w:t>r</w:t>
      </w:r>
      <w:r w:rsidR="00AF5445">
        <w:t xml:space="preserve">phose zum Kreis wird gezeigt, dass auch exakte geometrische Objekte mit NURBS </w:t>
      </w:r>
      <w:r w:rsidR="00EF6DFE">
        <w:t>konzipiert werden können.</w:t>
      </w:r>
    </w:p>
    <w:p w14:paraId="20F8EDBE" w14:textId="465292BF" w:rsidR="00C95168" w:rsidRDefault="00EF6DFE" w:rsidP="00C95168">
      <w:pPr>
        <w:pStyle w:val="berschrift1"/>
      </w:pPr>
      <w:r>
        <w:t>Bézier-Splines und Bernsteinpolynome</w:t>
      </w:r>
      <w:r w:rsidR="00EE0B0D">
        <w:t xml:space="preserve"> </w:t>
      </w:r>
    </w:p>
    <w:p w14:paraId="3C242468" w14:textId="79E8BE04" w:rsidR="000C2D89" w:rsidRDefault="00610023" w:rsidP="00610023">
      <w:pPr>
        <w:jc w:val="left"/>
        <w:rPr>
          <w:noProof/>
        </w:rPr>
      </w:pPr>
      <w:r>
        <w:t xml:space="preserve">Pierre </w:t>
      </w:r>
      <w:r w:rsidR="00E30C97">
        <w:t xml:space="preserve">Étienne </w:t>
      </w:r>
      <w:r>
        <w:t>Bézier wollte in den 1960er Jahren ein Hilfsmittel zu</w:t>
      </w:r>
      <w:r w:rsidR="003571C3">
        <w:t>m</w:t>
      </w:r>
      <w:r>
        <w:t xml:space="preserve"> Design von Karosserien für die Autos von Renault entwickeln.</w:t>
      </w:r>
      <w:r w:rsidR="000C2D89" w:rsidRPr="000C2D89">
        <w:t xml:space="preserve"> </w:t>
      </w:r>
      <w:r>
        <w:t>Die nach ihm benannten Bézier-Splines</w:t>
      </w:r>
      <w:r>
        <w:rPr>
          <w:rStyle w:val="Funotenzeichen"/>
        </w:rPr>
        <w:footnoteReference w:id="1"/>
      </w:r>
      <w:r>
        <w:t xml:space="preserve"> eignen sich mit ihrer geometrischen Erzeugungsmöglichkeit gut für DGS wie GeoGebra</w:t>
      </w:r>
      <w:r w:rsidR="00A642AF">
        <w:t>.</w:t>
      </w:r>
      <w:r w:rsidR="0037106D">
        <w:t xml:space="preserve"> Sie werden heute vielfach verwendet, in Abb. 1</w:t>
      </w:r>
      <w:r w:rsidR="003571C3">
        <w:t>b)</w:t>
      </w:r>
      <w:r w:rsidR="0037106D">
        <w:t xml:space="preserve"> von dem Notenschreibprogramm </w:t>
      </w:r>
      <w:proofErr w:type="spellStart"/>
      <w:r w:rsidR="0037106D" w:rsidRPr="0037106D">
        <w:rPr>
          <w:i/>
          <w:iCs/>
        </w:rPr>
        <w:t>Capella</w:t>
      </w:r>
      <w:proofErr w:type="spellEnd"/>
      <w:r w:rsidR="0037106D" w:rsidRPr="00A161D3">
        <w:rPr>
          <w:vertAlign w:val="superscript"/>
        </w:rPr>
        <w:t>®</w:t>
      </w:r>
      <w:r w:rsidR="0037106D">
        <w:t xml:space="preserve">, aber auch in Foto- und Grafikbearbeitungssoftware. </w:t>
      </w:r>
    </w:p>
    <w:p w14:paraId="264E930D" w14:textId="34F6004C" w:rsidR="00B24346" w:rsidRDefault="00B24346" w:rsidP="00B24346">
      <w:pPr>
        <w:jc w:val="center"/>
      </w:pPr>
      <w:r>
        <w:rPr>
          <w:noProof/>
          <w:lang w:eastAsia="zh-CN"/>
        </w:rPr>
        <w:drawing>
          <wp:inline distT="0" distB="0" distL="0" distR="0" wp14:anchorId="4992CEDE" wp14:editId="359CAB82">
            <wp:extent cx="3599688" cy="1170432"/>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88" cy="1170432"/>
                    </a:xfrm>
                    <a:prstGeom prst="rect">
                      <a:avLst/>
                    </a:prstGeom>
                  </pic:spPr>
                </pic:pic>
              </a:graphicData>
            </a:graphic>
          </wp:inline>
        </w:drawing>
      </w:r>
    </w:p>
    <w:p w14:paraId="51956D24" w14:textId="770E52A9" w:rsidR="000C2D89" w:rsidRDefault="000C2D89" w:rsidP="000C2D89">
      <w:pPr>
        <w:pStyle w:val="Bildunterschrift"/>
      </w:pPr>
      <w:r w:rsidRPr="000C2D89">
        <w:rPr>
          <w:b/>
          <w:bCs/>
        </w:rPr>
        <w:t xml:space="preserve">Abb. </w:t>
      </w:r>
      <w:r w:rsidRPr="000C2D89">
        <w:rPr>
          <w:b/>
          <w:bCs/>
        </w:rPr>
        <w:fldChar w:fldCharType="begin"/>
      </w:r>
      <w:r w:rsidRPr="000C2D89">
        <w:rPr>
          <w:b/>
          <w:bCs/>
        </w:rPr>
        <w:instrText xml:space="preserve"> SEQ Abbildung \* ARABIC </w:instrText>
      </w:r>
      <w:r w:rsidRPr="000C2D89">
        <w:rPr>
          <w:b/>
          <w:bCs/>
        </w:rPr>
        <w:fldChar w:fldCharType="separate"/>
      </w:r>
      <w:r w:rsidR="00C163B0">
        <w:rPr>
          <w:b/>
          <w:bCs/>
          <w:noProof/>
        </w:rPr>
        <w:t>1</w:t>
      </w:r>
      <w:r w:rsidRPr="000C2D89">
        <w:rPr>
          <w:b/>
          <w:bCs/>
        </w:rPr>
        <w:fldChar w:fldCharType="end"/>
      </w:r>
      <w:r w:rsidRPr="000C2D89">
        <w:rPr>
          <w:b/>
          <w:bCs/>
        </w:rPr>
        <w:t>:</w:t>
      </w:r>
      <w:r>
        <w:t xml:space="preserve"> </w:t>
      </w:r>
      <w:r w:rsidR="004633A7" w:rsidRPr="00D430A8">
        <w:rPr>
          <w:b/>
          <w:bCs/>
        </w:rPr>
        <w:t>a)</w:t>
      </w:r>
      <w:r>
        <w:t xml:space="preserve"> NURBS mit uniformen B-Splines,</w:t>
      </w:r>
      <w:r w:rsidR="00712C20">
        <w:t xml:space="preserve"> </w:t>
      </w:r>
      <w:r w:rsidR="008453C3">
        <w:t>bei Bewegung</w:t>
      </w:r>
      <w:r w:rsidR="00712C20">
        <w:t xml:space="preserve"> ein</w:t>
      </w:r>
      <w:r w:rsidR="008453C3">
        <w:t>es</w:t>
      </w:r>
      <w:r w:rsidR="00712C20">
        <w:t xml:space="preserve"> Steuerpunkt</w:t>
      </w:r>
      <w:r w:rsidR="008453C3">
        <w:t>es</w:t>
      </w:r>
      <w:r w:rsidR="00712C20">
        <w:t xml:space="preserve"> reagiert ein Teil der Kurve quasi organisch</w:t>
      </w:r>
      <w:r>
        <w:t xml:space="preserve"> </w:t>
      </w:r>
      <w:r w:rsidR="004633A7" w:rsidRPr="00D430A8">
        <w:rPr>
          <w:b/>
          <w:bCs/>
        </w:rPr>
        <w:t>b)</w:t>
      </w:r>
      <w:r>
        <w:t xml:space="preserve"> Bézier-Spline mit Anwendung</w:t>
      </w:r>
    </w:p>
    <w:p w14:paraId="41A07A99" w14:textId="017D283E" w:rsidR="00B24346" w:rsidRDefault="00B24346" w:rsidP="00D430A8">
      <w:pPr>
        <w:keepNext/>
        <w:jc w:val="left"/>
      </w:pPr>
      <w:r>
        <w:rPr>
          <w:noProof/>
          <w:lang w:eastAsia="zh-CN"/>
        </w:rPr>
        <w:lastRenderedPageBreak/>
        <w:drawing>
          <wp:inline distT="0" distB="0" distL="0" distR="0" wp14:anchorId="79DA3A76" wp14:editId="599D4A2D">
            <wp:extent cx="3888740" cy="113728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8740" cy="1137285"/>
                    </a:xfrm>
                    <a:prstGeom prst="rect">
                      <a:avLst/>
                    </a:prstGeom>
                  </pic:spPr>
                </pic:pic>
              </a:graphicData>
            </a:graphic>
          </wp:inline>
        </w:drawing>
      </w:r>
    </w:p>
    <w:p w14:paraId="63712840" w14:textId="5492594A" w:rsidR="0037106D" w:rsidRDefault="00B24346" w:rsidP="00D430A8">
      <w:pPr>
        <w:pStyle w:val="Bildunterschrift"/>
      </w:pPr>
      <w:r w:rsidRPr="00B24346">
        <w:rPr>
          <w:b/>
          <w:bCs/>
        </w:rPr>
        <w:t>Abb. 2:</w:t>
      </w:r>
      <w:r>
        <w:rPr>
          <w:b/>
          <w:bCs/>
        </w:rPr>
        <w:t xml:space="preserve"> </w:t>
      </w:r>
      <w:r w:rsidRPr="003571C3">
        <w:rPr>
          <w:b/>
          <w:bCs/>
        </w:rPr>
        <w:t>a)</w:t>
      </w:r>
      <w:r>
        <w:t xml:space="preserve"> Steuerpunkte und Gerüst für einen Bézier-Spline, </w:t>
      </w:r>
      <w:r w:rsidRPr="003571C3">
        <w:rPr>
          <w:b/>
          <w:bCs/>
        </w:rPr>
        <w:t>b)</w:t>
      </w:r>
      <w:r>
        <w:t xml:space="preserve"> Bernsteinpolynome als Basis, </w:t>
      </w:r>
      <w:r w:rsidRPr="003571C3">
        <w:rPr>
          <w:b/>
          <w:bCs/>
        </w:rPr>
        <w:t>c)</w:t>
      </w:r>
      <w:r>
        <w:t xml:space="preserve"> Summe der Bernsteinpolynome ist 1.</w:t>
      </w:r>
    </w:p>
    <w:p w14:paraId="503A2386" w14:textId="2FDBB97A" w:rsidR="0037106D" w:rsidRDefault="00B24346" w:rsidP="00A73DDF">
      <w:pPr>
        <w:pStyle w:val="Auf1"/>
      </w:pPr>
      <w:r>
        <w:t xml:space="preserve">Zu a) </w:t>
      </w:r>
      <w:r w:rsidR="00A73DDF">
        <w:t xml:space="preserve">Jeder der gestrichelten Vektoren wird im Verhältnis </w:t>
      </w:r>
      <w:r w:rsidR="00A73DDF" w:rsidRPr="00A161D3">
        <w:rPr>
          <w:iCs/>
        </w:rPr>
        <w:t>t</w:t>
      </w:r>
      <w:r w:rsidR="00A73DDF">
        <w:rPr>
          <w:i/>
          <w:iCs/>
        </w:rPr>
        <w:t xml:space="preserve"> </w:t>
      </w:r>
      <w:r w:rsidR="00A73DDF">
        <w:t xml:space="preserve">geteilt. So wird </w:t>
      </w:r>
      <w:r w:rsidR="008453C3">
        <w:t>P</w:t>
      </w:r>
      <w:r w:rsidR="00A24765">
        <w:t xml:space="preserve"> </w:t>
      </w:r>
      <w:r w:rsidR="00A73DDF">
        <w:t xml:space="preserve">definiert, </w:t>
      </w:r>
      <w:r w:rsidR="00A24765">
        <w:t>d</w:t>
      </w:r>
      <w:r w:rsidR="00A73DDF">
        <w:t xml:space="preserve">ie Ortskurve von </w:t>
      </w:r>
      <w:r w:rsidR="008453C3">
        <w:t>P</w:t>
      </w:r>
      <w:r w:rsidR="00A73DDF">
        <w:t xml:space="preserve"> ist der Bézier-Spline. In [1, Seite 369] finden Sie einen (schulisch erreichbaren) vektoriellen Beweis, der</w:t>
      </w:r>
      <w:r w:rsidR="008453C3">
        <w:t>, sortiert</w:t>
      </w:r>
      <w:r w:rsidR="00A24765">
        <w:t xml:space="preserve"> nach </w:t>
      </w:r>
      <w:r w:rsidR="008453C3">
        <w:t>den</w:t>
      </w:r>
      <w:r w:rsidR="00603793">
        <w:t xml:space="preserve"> Ortsvektoren der Steuerpunkte</w:t>
      </w:r>
      <w:r w:rsidR="008453C3">
        <w:t>,</w:t>
      </w:r>
      <w:r w:rsidR="00603793">
        <w:t xml:space="preserve"> ergibt:</w:t>
      </w:r>
      <w:r w:rsidR="00603793" w:rsidRPr="00603793">
        <w:rPr>
          <w:noProof/>
        </w:rPr>
        <w:t xml:space="preserve"> </w:t>
      </w:r>
      <w:r w:rsidR="00603793" w:rsidRPr="00603793">
        <w:rPr>
          <w:noProof/>
          <w:lang w:eastAsia="zh-CN"/>
        </w:rPr>
        <w:drawing>
          <wp:inline distT="0" distB="0" distL="0" distR="0" wp14:anchorId="08D17115" wp14:editId="2AD2F96E">
            <wp:extent cx="3538576" cy="354782"/>
            <wp:effectExtent l="0" t="0" r="508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6635" cy="364614"/>
                    </a:xfrm>
                    <a:prstGeom prst="rect">
                      <a:avLst/>
                    </a:prstGeom>
                  </pic:spPr>
                </pic:pic>
              </a:graphicData>
            </a:graphic>
          </wp:inline>
        </w:drawing>
      </w:r>
    </w:p>
    <w:p w14:paraId="5DA1FDE6" w14:textId="33CDF552" w:rsidR="00603793" w:rsidRDefault="00603793" w:rsidP="00A73DDF">
      <w:pPr>
        <w:pStyle w:val="Auf1"/>
      </w:pPr>
      <w:r>
        <w:rPr>
          <w:noProof/>
        </w:rPr>
        <w:t xml:space="preserve">Zu b) Die Koeffizienten der Steuerpunkte heißen Bernsteinpolynome. </w:t>
      </w:r>
      <w:r w:rsidRPr="00603793">
        <w:rPr>
          <w:noProof/>
          <w:lang w:eastAsia="zh-CN"/>
        </w:rPr>
        <w:drawing>
          <wp:inline distT="0" distB="0" distL="0" distR="0" wp14:anchorId="6B4620C7" wp14:editId="0C1BA7D5">
            <wp:extent cx="3566915" cy="14095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8317" cy="148121"/>
                    </a:xfrm>
                    <a:prstGeom prst="rect">
                      <a:avLst/>
                    </a:prstGeom>
                  </pic:spPr>
                </pic:pic>
              </a:graphicData>
            </a:graphic>
          </wp:inline>
        </w:drawing>
      </w:r>
      <w:r w:rsidR="00A07D1C">
        <w:rPr>
          <w:noProof/>
        </w:rPr>
        <w:t xml:space="preserve">Sie bilden eine Basis für den Raum </w:t>
      </w:r>
      <w:r w:rsidR="00A07D1C" w:rsidRPr="00A07D1C">
        <w:rPr>
          <w:noProof/>
        </w:rPr>
        <w:t>Π</w:t>
      </w:r>
      <w:r w:rsidR="00A07D1C" w:rsidRPr="00A07D1C">
        <w:rPr>
          <w:noProof/>
          <w:vertAlign w:val="subscript"/>
        </w:rPr>
        <w:t>3</w:t>
      </w:r>
      <w:r w:rsidR="00A07D1C">
        <w:rPr>
          <w:noProof/>
        </w:rPr>
        <w:t xml:space="preserve"> der Polynome </w:t>
      </w:r>
      <w:r w:rsidR="00A07D1C" w:rsidRPr="00A07D1C">
        <w:rPr>
          <w:noProof/>
        </w:rPr>
        <w:t>bis</w:t>
      </w:r>
      <w:r w:rsidR="00A07D1C">
        <w:rPr>
          <w:noProof/>
        </w:rPr>
        <w:t xml:space="preserve"> zum Grad 3. </w:t>
      </w:r>
    </w:p>
    <w:p w14:paraId="77E62C66" w14:textId="70CE97EF" w:rsidR="00603793" w:rsidRDefault="00A07D1C" w:rsidP="00A73DDF">
      <w:pPr>
        <w:pStyle w:val="Auf1"/>
      </w:pPr>
      <w:r>
        <w:rPr>
          <w:noProof/>
        </w:rPr>
        <w:t xml:space="preserve">Zu c) </w:t>
      </w:r>
      <w:r w:rsidR="00603793">
        <w:rPr>
          <w:noProof/>
        </w:rPr>
        <w:t xml:space="preserve">Man kann sie sich als Summanden der Formel </w:t>
      </w:r>
      <m:oMath>
        <m:sSup>
          <m:sSupPr>
            <m:ctrlPr>
              <w:rPr>
                <w:rFonts w:ascii="Cambria Math" w:hAnsi="Cambria Math"/>
                <w:i/>
                <w:noProof/>
              </w:rPr>
            </m:ctrlPr>
          </m:sSupPr>
          <m:e>
            <m:r>
              <w:rPr>
                <w:rFonts w:ascii="Cambria Math" w:hAnsi="Cambria Math"/>
                <w:noProof/>
              </w:rPr>
              <m:t>((1-t)+t)</m:t>
            </m:r>
          </m:e>
          <m:sup>
            <m:r>
              <w:rPr>
                <w:rFonts w:ascii="Cambria Math" w:hAnsi="Cambria Math"/>
                <w:noProof/>
              </w:rPr>
              <m:t>3</m:t>
            </m:r>
          </m:sup>
        </m:sSup>
      </m:oMath>
      <w:r w:rsidR="00E30C97">
        <w:rPr>
          <w:noProof/>
        </w:rPr>
        <w:t xml:space="preserve">, entwickelt mit der binomischen Formel, </w:t>
      </w:r>
      <w:r w:rsidR="00603793">
        <w:rPr>
          <w:noProof/>
        </w:rPr>
        <w:t>merken, womit klar ist, dass ihre Summe 1 ist, für jedes t.</w:t>
      </w:r>
    </w:p>
    <w:p w14:paraId="4A089C25" w14:textId="74343CB4" w:rsidR="00A07D1C" w:rsidRDefault="00A07D1C" w:rsidP="00A07D1C">
      <w:r>
        <w:t xml:space="preserve">Dieser Zusammenhang eignet sich in besonderer Weise, um die Parameterdarstellung von Kurven an einem relevanten, überzeugenden Beispiel </w:t>
      </w:r>
      <w:proofErr w:type="spellStart"/>
      <w:r>
        <w:t>einzu</w:t>
      </w:r>
      <w:proofErr w:type="spellEnd"/>
      <w:r>
        <w:t xml:space="preserve">- führen. In </w:t>
      </w:r>
      <w:r w:rsidR="004A2A73">
        <w:t>[6] weist Hans Walser darauf hin, dass die Vermeidung von Parameterkurven angesichts der heutigen Mathematiksoftware nicht sinnvoll ist. Z.B. gibt es in GeoGebra den umfassenden Befehl Kurve(x(t</w:t>
      </w:r>
      <w:proofErr w:type="gramStart"/>
      <w:r w:rsidR="004A2A73">
        <w:t>),y</w:t>
      </w:r>
      <w:proofErr w:type="gramEnd"/>
      <w:r w:rsidR="004A2A73">
        <w:t xml:space="preserve">(t),t,0,1) Hier: </w:t>
      </w:r>
      <w:r w:rsidR="004A2A73" w:rsidRPr="004A2A73">
        <w:rPr>
          <w:noProof/>
          <w:lang w:eastAsia="zh-CN"/>
        </w:rPr>
        <w:drawing>
          <wp:inline distT="0" distB="0" distL="0" distR="0" wp14:anchorId="0D80EFCB" wp14:editId="4E8E7F8B">
            <wp:extent cx="3888740" cy="34036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8740" cy="340360"/>
                    </a:xfrm>
                    <a:prstGeom prst="rect">
                      <a:avLst/>
                    </a:prstGeom>
                  </pic:spPr>
                </pic:pic>
              </a:graphicData>
            </a:graphic>
          </wp:inline>
        </w:drawing>
      </w:r>
      <w:r w:rsidR="004A2A73">
        <w:t xml:space="preserve"> Einen Vorschlag für die interaktive Visualisierung von Parameterdarstellungen fin</w:t>
      </w:r>
      <w:r w:rsidR="00CE1600">
        <w:t>den</w:t>
      </w:r>
      <w:r w:rsidR="004A2A73">
        <w:t xml:space="preserve"> Sie in [1, Seite </w:t>
      </w:r>
      <w:r w:rsidR="0052169A">
        <w:t>371</w:t>
      </w:r>
      <w:r w:rsidR="004A2A73">
        <w:t>]</w:t>
      </w:r>
      <w:r w:rsidR="003571C3">
        <w:t xml:space="preserve"> und [3]</w:t>
      </w:r>
      <w:r w:rsidR="0052169A">
        <w:t>.</w:t>
      </w:r>
    </w:p>
    <w:p w14:paraId="3F2913F1" w14:textId="122CCAD4" w:rsidR="0052169A" w:rsidRDefault="00CE1600" w:rsidP="00CE1600">
      <w:pPr>
        <w:pStyle w:val="berschrift1"/>
      </w:pPr>
      <w:r>
        <w:t xml:space="preserve">B-Splines als weiterführendes </w:t>
      </w:r>
      <w:proofErr w:type="spellStart"/>
      <w:r>
        <w:t>Splinekonzept</w:t>
      </w:r>
      <w:proofErr w:type="spellEnd"/>
    </w:p>
    <w:p w14:paraId="450E66C5" w14:textId="7BF2551D" w:rsidR="004A2A73" w:rsidRDefault="00E30C97" w:rsidP="00A07D1C">
      <w:r>
        <w:t>Bézier</w:t>
      </w:r>
      <w:r w:rsidR="00CE1600">
        <w:t>-Splines lassen sich nicht so einfach fortsetzen. Um Differenzierbarkeit</w:t>
      </w:r>
      <w:r w:rsidR="00F94254">
        <w:t xml:space="preserve"> zu erhalten</w:t>
      </w:r>
      <w:r w:rsidR="00CE1600">
        <w:t xml:space="preserve"> und Krümmu</w:t>
      </w:r>
      <w:r>
        <w:t>n</w:t>
      </w:r>
      <w:r w:rsidR="00CE1600">
        <w:t>gssprünge zu vermeiden, muss der vierte Steuerpunkt die ge</w:t>
      </w:r>
      <w:r w:rsidR="00F94254">
        <w:t>o</w:t>
      </w:r>
      <w:r w:rsidR="00CE1600">
        <w:t xml:space="preserve">metrische Mitte der vom dritten und fünften </w:t>
      </w:r>
      <w:r w:rsidR="00AB4B2C">
        <w:t>Steuerpunkt</w:t>
      </w:r>
      <w:r w:rsidR="009E5CEC">
        <w:t xml:space="preserve"> </w:t>
      </w:r>
      <w:r w:rsidR="00CE1600">
        <w:t>gebildeten Strecke sein</w:t>
      </w:r>
      <w:r w:rsidR="00F94254">
        <w:t>, und so fort. Die</w:t>
      </w:r>
      <w:r w:rsidR="004633A7">
        <w:t xml:space="preserve"> glatte Fortsetzung</w:t>
      </w:r>
      <w:r w:rsidR="00F94254">
        <w:t xml:space="preserve"> wird von B-Splines </w:t>
      </w:r>
      <w:r w:rsidR="004633A7">
        <w:t xml:space="preserve">mit beliebig vielen Steuerpunkten </w:t>
      </w:r>
      <w:r w:rsidR="00F94254">
        <w:t>elegant gelöst.</w:t>
      </w:r>
    </w:p>
    <w:p w14:paraId="3F6BE6A7" w14:textId="690DF9C2" w:rsidR="00F94254" w:rsidRDefault="00F94254" w:rsidP="00F94254">
      <w:pPr>
        <w:pStyle w:val="berschrift2"/>
      </w:pPr>
      <w:r>
        <w:t>Basiselemente von B-Splines</w:t>
      </w:r>
    </w:p>
    <w:p w14:paraId="78F4165C" w14:textId="3F49FD92" w:rsidR="009857B2" w:rsidRDefault="009857B2" w:rsidP="009857B2">
      <w:pPr>
        <w:keepNext/>
        <w:jc w:val="center"/>
      </w:pPr>
      <w:r>
        <w:rPr>
          <w:noProof/>
          <w:lang w:eastAsia="zh-CN"/>
        </w:rPr>
        <w:drawing>
          <wp:inline distT="0" distB="0" distL="0" distR="0" wp14:anchorId="44D6A82C" wp14:editId="281DD224">
            <wp:extent cx="3600000" cy="406800"/>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406800"/>
                    </a:xfrm>
                    <a:prstGeom prst="rect">
                      <a:avLst/>
                    </a:prstGeom>
                  </pic:spPr>
                </pic:pic>
              </a:graphicData>
            </a:graphic>
          </wp:inline>
        </w:drawing>
      </w:r>
    </w:p>
    <w:p w14:paraId="58337313" w14:textId="3A621D8D" w:rsidR="00F94254" w:rsidRDefault="009857B2" w:rsidP="00D430A8">
      <w:pPr>
        <w:pStyle w:val="Bildunterschrift"/>
        <w:jc w:val="both"/>
      </w:pPr>
      <w:r w:rsidRPr="00B069B8">
        <w:rPr>
          <w:b/>
          <w:bCs/>
        </w:rPr>
        <w:t>Abb.</w:t>
      </w:r>
      <w:r w:rsidR="00B069B8" w:rsidRPr="00B069B8">
        <w:rPr>
          <w:b/>
          <w:bCs/>
        </w:rPr>
        <w:t xml:space="preserve"> </w:t>
      </w:r>
      <w:r w:rsidRPr="00B069B8">
        <w:rPr>
          <w:b/>
          <w:bCs/>
        </w:rPr>
        <w:t>3:</w:t>
      </w:r>
      <w:r>
        <w:t xml:space="preserve"> B-Spline</w:t>
      </w:r>
      <w:r w:rsidR="00B069B8">
        <w:t>-Basis</w:t>
      </w:r>
      <w:r>
        <w:t xml:space="preserve"> vom Grad </w:t>
      </w:r>
      <w:r w:rsidRPr="003571C3">
        <w:rPr>
          <w:b/>
          <w:bCs/>
        </w:rPr>
        <w:t>p=3</w:t>
      </w:r>
      <w:r>
        <w:t>, „didaktische“ B-Spline</w:t>
      </w:r>
      <w:r w:rsidR="00B069B8">
        <w:t>-Basis</w:t>
      </w:r>
      <w:r>
        <w:t xml:space="preserve"> vom Grad </w:t>
      </w:r>
      <w:r w:rsidRPr="00D430A8">
        <w:rPr>
          <w:b/>
          <w:bCs/>
        </w:rPr>
        <w:t>p=4</w:t>
      </w:r>
      <w:r>
        <w:t xml:space="preserve">. An jeder Stelle sind genau vier Basiselemente („Hügel“) wirksam. Sie gehen alle aus dem </w:t>
      </w:r>
      <w:r w:rsidR="00D430A8">
        <w:t>g</w:t>
      </w:r>
      <w:r>
        <w:t xml:space="preserve">estrichelten durch Verschieben hervor. Jeder </w:t>
      </w:r>
      <w:r w:rsidR="00B069B8">
        <w:t xml:space="preserve">Hügel ist </w:t>
      </w:r>
      <w:r w:rsidR="00AE0AEC">
        <w:t xml:space="preserve">null </w:t>
      </w:r>
      <w:r w:rsidR="00B069B8">
        <w:t>außerhalb eines Intervalls der Breite 4.</w:t>
      </w:r>
    </w:p>
    <w:p w14:paraId="13056195" w14:textId="3462762B" w:rsidR="00B069B8" w:rsidRDefault="00B069B8" w:rsidP="00B069B8">
      <w:r>
        <w:t xml:space="preserve">Sieht man sich die Basiselemente der B-Splines links an, so könnte man meinen, sie ließen sich durch Polynome 4. Grades verwirklichen. Letztere lassen </w:t>
      </w:r>
      <w:r w:rsidR="00A65B97">
        <w:t xml:space="preserve">sich </w:t>
      </w:r>
      <w:r>
        <w:t>leicht realisieren. Im Folgenden wird gezeigt,</w:t>
      </w:r>
      <w:r w:rsidR="00415B1E">
        <w:t xml:space="preserve"> warum das nicht optimal ist und</w:t>
      </w:r>
      <w:r>
        <w:t xml:space="preserve"> wie </w:t>
      </w:r>
      <w:r w:rsidR="00415B1E">
        <w:t>im Beispiel der „didaktische“ B-Spline im Vergleich mit dem echten B-Spline aussi</w:t>
      </w:r>
      <w:r w:rsidR="008E6CF5">
        <w:t>e</w:t>
      </w:r>
      <w:r w:rsidR="00415B1E">
        <w:t>ht. Die</w:t>
      </w:r>
      <w:r w:rsidR="008E6CF5">
        <w:t xml:space="preserve"> </w:t>
      </w:r>
      <w:r w:rsidR="00415B1E">
        <w:t>„Hügel“ der echten B-Spline-Basis bestehen aus vier Stücken vo</w:t>
      </w:r>
      <w:r w:rsidR="008E6CF5">
        <w:t>n</w:t>
      </w:r>
      <w:r w:rsidR="00415B1E">
        <w:t xml:space="preserve"> kubischen Polynomen, daher ist p=3.</w:t>
      </w:r>
      <w:r w:rsidR="008E6CF5">
        <w:t xml:space="preserve"> Berechnung siehe unten.</w:t>
      </w:r>
    </w:p>
    <w:p w14:paraId="48538D87" w14:textId="3E68758F" w:rsidR="00415B1E" w:rsidRDefault="00B069B8" w:rsidP="00415B1E">
      <w:pPr>
        <w:pStyle w:val="berschrift2"/>
      </w:pPr>
      <w:r>
        <w:t>Didaktische Reduzierung</w:t>
      </w:r>
    </w:p>
    <w:p w14:paraId="4872CFFB" w14:textId="1AB834DF" w:rsidR="00415B1E" w:rsidRDefault="00415B1E" w:rsidP="00415B1E">
      <w:r>
        <w:t xml:space="preserve">In [6] diskutiert Hans Walser mit </w:t>
      </w:r>
      <w:r w:rsidR="00A65B97">
        <w:t xml:space="preserve">Recht </w:t>
      </w:r>
      <w:r>
        <w:t xml:space="preserve">die Problematik von didaktischen Reduzierungen. </w:t>
      </w:r>
      <w:r w:rsidR="008E6CF5">
        <w:t xml:space="preserve">Eine solche halte ich für gerechtfertigt, wenn die Lernenden mit eigenen Ideen und Realisierungen weit kommen können, man aber dann klarstellt, dass es so nicht wirklich gemacht wird, und der Grund dafür einsichtig wird. </w:t>
      </w:r>
      <w:r w:rsidR="00F81713">
        <w:t>Der Kern des Umgangs sollte aber der richtige sein, „Mängel“ nimmt man in Kauf.</w:t>
      </w:r>
    </w:p>
    <w:p w14:paraId="6C4E4DD4" w14:textId="2597BBC9" w:rsidR="00F81713" w:rsidRDefault="00F81713" w:rsidP="00F81713">
      <w:pPr>
        <w:keepNext/>
        <w:jc w:val="center"/>
      </w:pPr>
      <w:r>
        <w:rPr>
          <w:noProof/>
          <w:lang w:eastAsia="zh-CN"/>
        </w:rPr>
        <w:drawing>
          <wp:inline distT="0" distB="0" distL="0" distR="0" wp14:anchorId="48C71A75" wp14:editId="11515D6B">
            <wp:extent cx="3599688" cy="658368"/>
            <wp:effectExtent l="0" t="0" r="127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p>
    <w:p w14:paraId="56E87ADB" w14:textId="68DF2538" w:rsidR="00F81713" w:rsidRDefault="00F81713" w:rsidP="00D430A8">
      <w:pPr>
        <w:pStyle w:val="Bildunterschrift"/>
        <w:jc w:val="both"/>
      </w:pPr>
      <w:r w:rsidRPr="00F81713">
        <w:rPr>
          <w:b/>
          <w:bCs/>
        </w:rPr>
        <w:t>Abb. 4: a)</w:t>
      </w:r>
      <w:r>
        <w:t xml:space="preserve"> didaktische B-Splines haben in [2,10] </w:t>
      </w:r>
      <w:r w:rsidRPr="00EF3D97">
        <w:rPr>
          <w:i/>
          <w:iCs/>
        </w:rPr>
        <w:t>nicht exakt Summe 1</w:t>
      </w:r>
      <w:r w:rsidRPr="00EF3D97">
        <w:t>,</w:t>
      </w:r>
      <w:r>
        <w:t xml:space="preserve"> </w:t>
      </w:r>
      <w:r w:rsidRPr="00F81713">
        <w:rPr>
          <w:b/>
          <w:bCs/>
        </w:rPr>
        <w:t>b)</w:t>
      </w:r>
      <w:r>
        <w:t xml:space="preserve"> das echte B-Spline-Basiselement besteht aus vier Polynomstücken vom Grad p=3, </w:t>
      </w:r>
      <w:r w:rsidRPr="00F81713">
        <w:rPr>
          <w:b/>
          <w:bCs/>
        </w:rPr>
        <w:t>c)</w:t>
      </w:r>
      <w:r>
        <w:t xml:space="preserve"> </w:t>
      </w:r>
      <w:r w:rsidR="00AE0AEC">
        <w:t>d</w:t>
      </w:r>
      <w:r>
        <w:t xml:space="preserve">ie Summe der echten B-Splines ist </w:t>
      </w:r>
      <w:r w:rsidRPr="00EF3D97">
        <w:rPr>
          <w:i/>
          <w:iCs/>
        </w:rPr>
        <w:t xml:space="preserve">exakt </w:t>
      </w:r>
      <w:r w:rsidRPr="00A161D3">
        <w:rPr>
          <w:iCs/>
        </w:rPr>
        <w:t>1</w:t>
      </w:r>
      <w:r w:rsidRPr="00EF3D97">
        <w:t>,</w:t>
      </w:r>
      <w:r>
        <w:t xml:space="preserve"> bis auf ein Intervall der Breite 3 vorn und hinten.</w:t>
      </w:r>
    </w:p>
    <w:p w14:paraId="027A57BD" w14:textId="041A860A" w:rsidR="00C53B68" w:rsidRDefault="004633A7" w:rsidP="009E5CEC">
      <w:r>
        <w:t>Die</w:t>
      </w:r>
      <w:r w:rsidR="00C53B68">
        <w:t xml:space="preserve"> Bernsteinspolynome in Abb. 2 erfüllen</w:t>
      </w:r>
      <w:r>
        <w:t xml:space="preserve"> </w:t>
      </w:r>
      <w:r w:rsidR="00A65B97">
        <w:t xml:space="preserve">die </w:t>
      </w:r>
      <w:r>
        <w:t xml:space="preserve">Bedingung, dass </w:t>
      </w:r>
      <w:r w:rsidR="00C53B68">
        <w:t>f</w:t>
      </w:r>
      <w:r>
        <w:t xml:space="preserve">ür jedes </w:t>
      </w:r>
      <w:r w:rsidRPr="00A161D3">
        <w:rPr>
          <w:i/>
        </w:rPr>
        <w:t>t</w:t>
      </w:r>
      <w:r>
        <w:t xml:space="preserve"> die Summe der Basis</w:t>
      </w:r>
      <w:r w:rsidR="00C53B68">
        <w:t>funktionen 1 ist, dies muss man für alle B-Spline-Typen und damit auch für NURBS fordern. Aber die didaktischen Hügel erfüllen dies nicht</w:t>
      </w:r>
      <w:r w:rsidR="00C05425">
        <w:t xml:space="preserve"> exakt</w:t>
      </w:r>
      <w:r w:rsidR="00C53B68">
        <w:t>, wie man in Abb. 3a) sieht.</w:t>
      </w:r>
    </w:p>
    <w:p w14:paraId="685956BE" w14:textId="730C4371" w:rsidR="00500AC6" w:rsidRDefault="00681994" w:rsidP="00AE04A3">
      <w:pPr>
        <w:keepNext/>
        <w:jc w:val="center"/>
      </w:pPr>
      <w:r>
        <w:rPr>
          <w:noProof/>
          <w:lang w:eastAsia="zh-CN"/>
        </w:rPr>
        <w:drawing>
          <wp:inline distT="0" distB="0" distL="0" distR="0" wp14:anchorId="39143106" wp14:editId="5449827B">
            <wp:extent cx="3599688" cy="649224"/>
            <wp:effectExtent l="0" t="0" r="127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9688" cy="649224"/>
                    </a:xfrm>
                    <a:prstGeom prst="rect">
                      <a:avLst/>
                    </a:prstGeom>
                  </pic:spPr>
                </pic:pic>
              </a:graphicData>
            </a:graphic>
          </wp:inline>
        </w:drawing>
      </w:r>
    </w:p>
    <w:p w14:paraId="769E295F" w14:textId="78D166D1" w:rsidR="00F81713" w:rsidRDefault="00500AC6" w:rsidP="00AE04A3">
      <w:pPr>
        <w:pStyle w:val="Bildunterschrift"/>
        <w:jc w:val="both"/>
      </w:pPr>
      <w:r w:rsidRPr="00AE04A3">
        <w:rPr>
          <w:b/>
          <w:bCs/>
        </w:rPr>
        <w:t xml:space="preserve">Abb. 5: </w:t>
      </w:r>
      <w:r w:rsidR="00681994" w:rsidRPr="00AE04A3">
        <w:rPr>
          <w:b/>
          <w:bCs/>
        </w:rPr>
        <w:t>a)</w:t>
      </w:r>
      <w:r w:rsidR="00681994">
        <w:t xml:space="preserve"> Neun Punkte A</w:t>
      </w:r>
      <w:r w:rsidR="00A65B97">
        <w:t>,</w:t>
      </w:r>
      <w:r w:rsidR="00681994">
        <w:t xml:space="preserve"> </w:t>
      </w:r>
      <w:r w:rsidR="00A65B97">
        <w:t xml:space="preserve">B, </w:t>
      </w:r>
      <w:r w:rsidR="00A24765">
        <w:t>…</w:t>
      </w:r>
      <w:r w:rsidR="00A65B97">
        <w:t>,</w:t>
      </w:r>
      <w:r w:rsidR="00681994">
        <w:t xml:space="preserve"> H, I </w:t>
      </w:r>
      <w:r w:rsidR="00A24765">
        <w:t>definieren einen</w:t>
      </w:r>
      <w:r w:rsidR="00681994">
        <w:t xml:space="preserve"> Polygonzug, dazu der </w:t>
      </w:r>
      <w:r w:rsidR="00681994" w:rsidRPr="00A24765">
        <w:rPr>
          <w:i/>
          <w:iCs/>
        </w:rPr>
        <w:t>didaktische B-Spline</w:t>
      </w:r>
      <w:r w:rsidR="00681994">
        <w:t xml:space="preserve"> „Karl“ mit Polynomen 4. Grades, </w:t>
      </w:r>
      <w:r w:rsidR="00681994" w:rsidRPr="00AE04A3">
        <w:rPr>
          <w:b/>
          <w:bCs/>
        </w:rPr>
        <w:t>b)</w:t>
      </w:r>
      <w:r w:rsidR="00681994">
        <w:t xml:space="preserve"> „Karlo“</w:t>
      </w:r>
      <w:r w:rsidR="00A24765">
        <w:t>,</w:t>
      </w:r>
      <w:r w:rsidR="00681994">
        <w:t xml:space="preserve"> der an einer Achse gespiegelte „Karl“</w:t>
      </w:r>
      <w:r w:rsidR="00A24765">
        <w:t>,</w:t>
      </w:r>
      <w:r w:rsidR="00681994">
        <w:t xml:space="preserve"> macht bei Bewegung eines Steuerpunktes von „Karl“ alle Veränderungen mit</w:t>
      </w:r>
      <w:r w:rsidR="00A24765">
        <w:t xml:space="preserve">, </w:t>
      </w:r>
      <w:r w:rsidR="00AB1153" w:rsidRPr="00AE04A3">
        <w:rPr>
          <w:b/>
          <w:bCs/>
        </w:rPr>
        <w:t>c)</w:t>
      </w:r>
      <w:r w:rsidR="00AB1153">
        <w:t xml:space="preserve"> der echte B-Spline ist im Vergleich zu sehen, er reagiert feiner auf die Steuerpunkte</w:t>
      </w:r>
    </w:p>
    <w:p w14:paraId="7177FDDF" w14:textId="60316021" w:rsidR="00A24765" w:rsidRDefault="009E5CEC" w:rsidP="009E5CEC">
      <w:r>
        <w:t>Im Wesentlichen kann man also an dem „didaktischen“ B-Spline dieselben Erfahrungen machen wie an dem echten.</w:t>
      </w:r>
    </w:p>
    <w:p w14:paraId="6141C8D3" w14:textId="4F50F1B8" w:rsidR="009E5CEC" w:rsidRDefault="009E5CEC" w:rsidP="009E5CEC">
      <w:pPr>
        <w:pStyle w:val="berschrift1"/>
      </w:pPr>
      <w:r>
        <w:t>Rekursive Definition der B-Splines</w:t>
      </w:r>
    </w:p>
    <w:p w14:paraId="69A16349" w14:textId="3C196338" w:rsidR="00AD4DEA" w:rsidRDefault="00AD4DEA" w:rsidP="00AD4DEA">
      <w:pPr>
        <w:pStyle w:val="Bildunterschrift"/>
        <w:keepNext/>
      </w:pPr>
      <w:r>
        <w:rPr>
          <w:noProof/>
          <w:lang w:eastAsia="zh-CN"/>
        </w:rPr>
        <w:drawing>
          <wp:inline distT="0" distB="0" distL="0" distR="0" wp14:anchorId="64161D26" wp14:editId="2A4880CD">
            <wp:extent cx="3888740" cy="25977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88740" cy="2597785"/>
                    </a:xfrm>
                    <a:prstGeom prst="rect">
                      <a:avLst/>
                    </a:prstGeom>
                  </pic:spPr>
                </pic:pic>
              </a:graphicData>
            </a:graphic>
          </wp:inline>
        </w:drawing>
      </w:r>
    </w:p>
    <w:p w14:paraId="0EB352A4" w14:textId="73E144AD" w:rsidR="00203153" w:rsidRDefault="00AD4DEA" w:rsidP="00203153">
      <w:pPr>
        <w:pStyle w:val="Bildunterschrift"/>
        <w:jc w:val="both"/>
      </w:pPr>
      <w:r w:rsidRPr="00AD4DEA">
        <w:rPr>
          <w:b/>
          <w:bCs/>
        </w:rPr>
        <w:t xml:space="preserve">Abb. </w:t>
      </w:r>
      <w:r w:rsidR="00505166">
        <w:rPr>
          <w:b/>
          <w:bCs/>
        </w:rPr>
        <w:t>6</w:t>
      </w:r>
      <w:r w:rsidR="00D430A8">
        <w:rPr>
          <w:b/>
          <w:bCs/>
        </w:rPr>
        <w:t>:</w:t>
      </w:r>
      <w:r>
        <w:t xml:space="preserve"> Die Basiselemente heißen </w:t>
      </w:r>
      <w:r w:rsidRPr="00C05425">
        <w:rPr>
          <w:rFonts w:asciiTheme="majorHAnsi" w:hAnsiTheme="majorHAnsi"/>
          <w:i/>
          <w:iCs/>
        </w:rPr>
        <w:t>B(</w:t>
      </w:r>
      <w:proofErr w:type="spellStart"/>
      <w:proofErr w:type="gramStart"/>
      <w:r w:rsidRPr="00C05425">
        <w:rPr>
          <w:rFonts w:asciiTheme="majorHAnsi" w:hAnsiTheme="majorHAnsi"/>
          <w:i/>
          <w:iCs/>
        </w:rPr>
        <w:t>i,p</w:t>
      </w:r>
      <w:proofErr w:type="gramEnd"/>
      <w:r w:rsidRPr="00C05425">
        <w:rPr>
          <w:rFonts w:asciiTheme="majorHAnsi" w:hAnsiTheme="majorHAnsi"/>
          <w:i/>
          <w:iCs/>
        </w:rPr>
        <w:t>,t</w:t>
      </w:r>
      <w:proofErr w:type="spellEnd"/>
      <w:r w:rsidRPr="00C05425">
        <w:rPr>
          <w:rFonts w:asciiTheme="majorHAnsi" w:hAnsiTheme="majorHAnsi"/>
          <w:i/>
          <w:iCs/>
        </w:rPr>
        <w:t>)</w:t>
      </w:r>
      <w:r w:rsidR="006B5E18">
        <w:t xml:space="preserve">, sie beginnen im „Knoten“ </w:t>
      </w:r>
      <w:r w:rsidR="006B5E18" w:rsidRPr="00C05425">
        <w:rPr>
          <w:i/>
          <w:iCs/>
        </w:rPr>
        <w:t>i</w:t>
      </w:r>
      <w:r w:rsidR="006B5E18">
        <w:t xml:space="preserve"> zu wirken, </w:t>
      </w:r>
      <w:r w:rsidR="006B5E18" w:rsidRPr="00C05425">
        <w:rPr>
          <w:rFonts w:asciiTheme="majorHAnsi" w:hAnsiTheme="majorHAnsi"/>
          <w:i/>
          <w:iCs/>
        </w:rPr>
        <w:t>p</w:t>
      </w:r>
      <w:r w:rsidR="006B5E18">
        <w:t xml:space="preserve"> ist der Polynomgrad, s</w:t>
      </w:r>
      <w:r>
        <w:t xml:space="preserve">ie sind </w:t>
      </w:r>
      <w:r w:rsidR="006B5E18">
        <w:t>außerhalb des Intervalls [</w:t>
      </w:r>
      <w:r w:rsidR="006B5E18" w:rsidRPr="00C05425">
        <w:rPr>
          <w:rFonts w:asciiTheme="majorHAnsi" w:hAnsiTheme="majorHAnsi"/>
          <w:i/>
          <w:iCs/>
        </w:rPr>
        <w:t>i, i+(p+1</w:t>
      </w:r>
      <w:r w:rsidR="006B5E18">
        <w:t>)] identisch null. Aus einer roten bzw. b</w:t>
      </w:r>
      <w:r w:rsidR="00203153">
        <w:t>lauen waagerechten Strecke (</w:t>
      </w:r>
      <w:r w:rsidR="00203153" w:rsidRPr="00C05425">
        <w:rPr>
          <w:rFonts w:asciiTheme="majorHAnsi" w:hAnsiTheme="majorHAnsi"/>
          <w:i/>
          <w:iCs/>
        </w:rPr>
        <w:t>p=0</w:t>
      </w:r>
      <w:r w:rsidR="00203153">
        <w:t>) wird durch Multiplikation mit der darunter dargestellten Geraden und Addition eine rote Zacke (</w:t>
      </w:r>
      <w:r w:rsidR="00203153" w:rsidRPr="0066472F">
        <w:rPr>
          <w:rFonts w:asciiTheme="majorHAnsi" w:hAnsiTheme="majorHAnsi"/>
          <w:i/>
          <w:iCs/>
        </w:rPr>
        <w:t>p=1</w:t>
      </w:r>
      <w:r w:rsidR="00203153">
        <w:t>), die um 1 verschoben blau dargestellt ist. Durch Multiplikation mit den beiden Geraden darunter und Addition entsteht eine rote Kurve aus drei Parabelstücken, die wieder verschoben blau gezeichnet ist. Dieses wird nochmals durchgeführt und es entstehen zwei Basiselemente aus vier Stücken von Polynomen 3.Grades.</w:t>
      </w:r>
    </w:p>
    <w:p w14:paraId="4DEA23DF" w14:textId="27D101E4" w:rsidR="00203153" w:rsidRDefault="00203153" w:rsidP="009C62CB">
      <w:r>
        <w:t xml:space="preserve">Es wird angedeutet, wie man zu </w:t>
      </w:r>
      <w:r w:rsidR="008E197A">
        <w:t>Basiselementen vierten und höheren Grades käme, aber i</w:t>
      </w:r>
      <w:r w:rsidR="009C62CB">
        <w:t>n</w:t>
      </w:r>
      <w:r w:rsidR="008E197A">
        <w:t xml:space="preserve"> der Praxis bleibt man nach [5] i.d.R. bei </w:t>
      </w:r>
      <w:r w:rsidR="008E197A" w:rsidRPr="0066472F">
        <w:rPr>
          <w:rFonts w:asciiTheme="majorHAnsi" w:hAnsiTheme="majorHAnsi"/>
          <w:i/>
          <w:iCs/>
        </w:rPr>
        <w:t>p=3</w:t>
      </w:r>
      <w:r w:rsidR="008E197A">
        <w:t>. Bei B-Splines mit Knoten gleichen Abstandes braucht man nichts weite</w:t>
      </w:r>
      <w:r w:rsidR="009C62CB">
        <w:t>r</w:t>
      </w:r>
      <w:r w:rsidR="008E197A">
        <w:t xml:space="preserve"> zu rechnen, das Bas</w:t>
      </w:r>
      <w:r w:rsidR="009C62CB">
        <w:t>is</w:t>
      </w:r>
      <w:r w:rsidR="008339C7">
        <w:t>-</w:t>
      </w:r>
      <w:r w:rsidR="008E197A">
        <w:t xml:space="preserve">element </w:t>
      </w:r>
      <w:r w:rsidR="008E197A" w:rsidRPr="00C05425">
        <w:rPr>
          <w:rFonts w:asciiTheme="majorHAnsi" w:hAnsiTheme="majorHAnsi"/>
          <w:i/>
          <w:iCs/>
        </w:rPr>
        <w:t>B(0,</w:t>
      </w:r>
      <w:proofErr w:type="gramStart"/>
      <w:r w:rsidR="008E197A" w:rsidRPr="00C05425">
        <w:rPr>
          <w:rFonts w:asciiTheme="majorHAnsi" w:hAnsiTheme="majorHAnsi"/>
          <w:i/>
          <w:iCs/>
        </w:rPr>
        <w:t>3,t</w:t>
      </w:r>
      <w:proofErr w:type="gramEnd"/>
      <w:r w:rsidR="008E197A" w:rsidRPr="00C05425">
        <w:rPr>
          <w:rFonts w:asciiTheme="majorHAnsi" w:hAnsiTheme="majorHAnsi"/>
          <w:i/>
          <w:iCs/>
        </w:rPr>
        <w:t>)</w:t>
      </w:r>
      <w:r w:rsidR="008E197A">
        <w:t xml:space="preserve"> (Abb. 4b)) wird für n Steuerpunkte mindesten n-mal als </w:t>
      </w:r>
      <w:r w:rsidR="008E197A" w:rsidRPr="00C05425">
        <w:rPr>
          <w:rFonts w:asciiTheme="majorHAnsi" w:hAnsiTheme="majorHAnsi"/>
          <w:i/>
          <w:iCs/>
        </w:rPr>
        <w:t>B(i,3,t)</w:t>
      </w:r>
      <w:r w:rsidR="008E197A">
        <w:t xml:space="preserve"> verschoben verwendet, für Abb.</w:t>
      </w:r>
      <w:r w:rsidR="00D430A8">
        <w:t xml:space="preserve"> </w:t>
      </w:r>
      <w:r w:rsidR="008E197A">
        <w:t>4c) als</w:t>
      </w:r>
      <w:r w:rsidR="009C62CB">
        <w:t>o</w:t>
      </w:r>
      <w:r w:rsidR="008E197A">
        <w:t xml:space="preserve"> neunmal.</w:t>
      </w:r>
    </w:p>
    <w:p w14:paraId="1EE03C16" w14:textId="59D5D5FD" w:rsidR="00203153" w:rsidRDefault="009C62CB" w:rsidP="009C62CB">
      <w:pPr>
        <w:pStyle w:val="berschrift1"/>
      </w:pPr>
      <w:r>
        <w:t>Allgemeine NURBS</w:t>
      </w:r>
    </w:p>
    <w:p w14:paraId="7B7F21E6" w14:textId="09B64165" w:rsidR="009C62CB" w:rsidRDefault="009C62CB" w:rsidP="009C62CB">
      <w:r>
        <w:t xml:space="preserve">NU heißt </w:t>
      </w:r>
      <w:r w:rsidRPr="003837B0">
        <w:rPr>
          <w:i/>
          <w:iCs/>
        </w:rPr>
        <w:t>non uniform</w:t>
      </w:r>
      <w:r>
        <w:t>, die Knoten können beliebige Abstände haben und sogar aufeinander fallen. Das hat, wegen der Summe-1-Bedingung</w:t>
      </w:r>
      <w:r w:rsidR="003837B0">
        <w:t>,</w:t>
      </w:r>
      <w:r>
        <w:t xml:space="preserve"> dann auch verschieden hohe „Hügel“ zur Folge. R steht für</w:t>
      </w:r>
      <w:r w:rsidR="003837B0">
        <w:t xml:space="preserve"> </w:t>
      </w:r>
      <w:r w:rsidR="003837B0" w:rsidRPr="003837B0">
        <w:rPr>
          <w:i/>
          <w:iCs/>
        </w:rPr>
        <w:t>rational</w:t>
      </w:r>
      <w:r w:rsidR="003837B0">
        <w:t>, bisher haben wir nur Polynome, also ganzrationale Funktionen betrachtet. BS steht für B-Spline, wobei auch andere Spline-Basen zugelassen werden. In [1, Seite 378</w:t>
      </w:r>
      <w:proofErr w:type="gramStart"/>
      <w:r w:rsidR="003837B0">
        <w:t xml:space="preserve">ff] </w:t>
      </w:r>
      <w:r w:rsidR="00AE0AEC">
        <w:t xml:space="preserve"> und</w:t>
      </w:r>
      <w:proofErr w:type="gramEnd"/>
      <w:r w:rsidR="00AE0AEC">
        <w:t xml:space="preserve"> [3] </w:t>
      </w:r>
      <w:r w:rsidR="003837B0">
        <w:t>werden entsprechende Überlegungen angestellt. Im Folgenden w</w:t>
      </w:r>
      <w:r w:rsidR="00C621EB">
        <w:t>e</w:t>
      </w:r>
      <w:r w:rsidR="003837B0">
        <w:t>rd</w:t>
      </w:r>
      <w:r w:rsidR="00C621EB">
        <w:t>en</w:t>
      </w:r>
      <w:r w:rsidR="003837B0">
        <w:t xml:space="preserve"> mit nicht-uniformen rationalen Bézier-Splines </w:t>
      </w:r>
      <w:r w:rsidR="00C621EB">
        <w:t>zwei</w:t>
      </w:r>
      <w:r w:rsidR="00C621EB">
        <w:t xml:space="preserve"> </w:t>
      </w:r>
      <w:r w:rsidR="003837B0">
        <w:t>ganz neue Beispiel</w:t>
      </w:r>
      <w:r w:rsidR="00C621EB">
        <w:t>e</w:t>
      </w:r>
      <w:r w:rsidR="003837B0">
        <w:t xml:space="preserve"> betrachtet.</w:t>
      </w:r>
    </w:p>
    <w:p w14:paraId="5E032BA7" w14:textId="57A069BC" w:rsidR="003837B0" w:rsidRDefault="003837B0" w:rsidP="003837B0">
      <w:pPr>
        <w:pStyle w:val="berschrift1"/>
      </w:pPr>
      <w:r>
        <w:t xml:space="preserve">Die Trisektrix als NURBS </w:t>
      </w:r>
      <w:r w:rsidR="00BF0D4B">
        <w:t>und ihre Metamorphose zum Kreis</w:t>
      </w:r>
    </w:p>
    <w:p w14:paraId="6A17F002" w14:textId="0CD8D68C" w:rsidR="00BF0D4B" w:rsidRDefault="00BF0D4B" w:rsidP="00BF0D4B">
      <w:pPr>
        <w:pStyle w:val="AufzhlungZahl"/>
      </w:pPr>
      <w:r w:rsidRPr="0066472F">
        <w:rPr>
          <w:i/>
          <w:iCs/>
        </w:rPr>
        <w:t xml:space="preserve">Die Trisektrix von </w:t>
      </w:r>
      <w:proofErr w:type="spellStart"/>
      <w:r w:rsidRPr="0066472F">
        <w:rPr>
          <w:i/>
          <w:iCs/>
        </w:rPr>
        <w:t>MacLaurin</w:t>
      </w:r>
      <w:proofErr w:type="spellEnd"/>
      <w:r>
        <w:t xml:space="preserve"> (siehe [</w:t>
      </w:r>
      <w:r w:rsidR="007460DA">
        <w:t>4</w:t>
      </w:r>
      <w:r>
        <w:t xml:space="preserve">, Seite 62 ff]) ist eine Kurve dritten Grades mit der impliziten Gleichung </w:t>
      </w:r>
      <m:oMath>
        <m:r>
          <w:rPr>
            <w:rFonts w:ascii="Cambria Math" w:hAnsi="Cambria Math"/>
          </w:rPr>
          <m:t>(a+x)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=(3a-x)</m:t>
        </m:r>
        <m:sSup>
          <m:sSupPr>
            <m:ctrlPr>
              <w:rPr>
                <w:rFonts w:ascii="Cambria Math" w:hAnsi="Cambria Math"/>
                <w:i/>
              </w:rPr>
            </m:ctrlPr>
          </m:sSupPr>
          <m:e>
            <m:r>
              <w:rPr>
                <w:rFonts w:ascii="Cambria Math" w:hAnsi="Cambria Math"/>
              </w:rPr>
              <m:t>x</m:t>
            </m:r>
          </m:e>
          <m:sup>
            <m:r>
              <w:rPr>
                <w:rFonts w:ascii="Cambria Math" w:hAnsi="Cambria Math"/>
              </w:rPr>
              <m:t>2</m:t>
            </m:r>
          </m:sup>
        </m:sSup>
      </m:oMath>
      <w:r w:rsidR="0066472F">
        <w:t xml:space="preserve">, mit </w:t>
      </w:r>
      <w:r w:rsidR="008339C7" w:rsidRPr="0066472F">
        <w:rPr>
          <w:rFonts w:asciiTheme="majorHAnsi" w:hAnsiTheme="majorHAnsi"/>
          <w:i/>
          <w:iCs/>
        </w:rPr>
        <w:t>3a</w:t>
      </w:r>
      <w:r w:rsidR="008339C7">
        <w:t xml:space="preserve"> </w:t>
      </w:r>
      <w:r w:rsidR="0066472F">
        <w:t>als</w:t>
      </w:r>
      <w:r w:rsidR="008339C7">
        <w:t xml:space="preserve"> Schlaufenbreite.</w:t>
      </w:r>
      <w:r w:rsidR="000C20C6">
        <w:t xml:space="preserve"> Wir brauchen eine rationale Parametrisierung</w:t>
      </w:r>
      <w:r w:rsidR="00505166">
        <w:t>.</w:t>
      </w:r>
    </w:p>
    <w:p w14:paraId="1AF30351" w14:textId="18BF3395" w:rsidR="000C20C6" w:rsidRDefault="00182474" w:rsidP="00BF0D4B">
      <w:pPr>
        <w:pStyle w:val="AufzhlungZahl"/>
      </w:pPr>
      <w:r>
        <w:t>Wir brauchen eine rationale Basis dritten Grades.</w:t>
      </w:r>
    </w:p>
    <w:p w14:paraId="7A2A9A97" w14:textId="2B30E262" w:rsidR="00182474" w:rsidRDefault="00182474" w:rsidP="00BF0D4B">
      <w:pPr>
        <w:pStyle w:val="AufzhlungZahl"/>
      </w:pPr>
      <w:r>
        <w:t>Wir brauchen passende Steuerpunkte.</w:t>
      </w:r>
    </w:p>
    <w:p w14:paraId="7142C864" w14:textId="52C6EAC8" w:rsidR="00BF0D4B" w:rsidRDefault="00182474" w:rsidP="00182474">
      <w:pPr>
        <w:pStyle w:val="berschrift2"/>
      </w:pPr>
      <w:r>
        <w:t>Zu 1:</w:t>
      </w:r>
      <w:r w:rsidR="00F436F1">
        <w:t xml:space="preserve"> Rationale Parametrisierung</w:t>
      </w:r>
    </w:p>
    <w:p w14:paraId="39F24DE5" w14:textId="0FAFBE48" w:rsidR="00F436F1" w:rsidRPr="00F436F1" w:rsidRDefault="00F436F1" w:rsidP="00F436F1">
      <w:r>
        <w:t>Eine solche kann man finden</w:t>
      </w:r>
      <w:r w:rsidR="00505166">
        <w:t>,</w:t>
      </w:r>
      <w:r>
        <w:t xml:space="preserve"> indem</w:t>
      </w:r>
      <w:r w:rsidR="00505166">
        <w:t xml:space="preserve"> man</w:t>
      </w:r>
      <w:r>
        <w:t xml:space="preserve"> eine algebraische Kurve mit einer beweglichen Geraden schneidet und dabei vermeidet, dass man Wurzelterme </w:t>
      </w:r>
      <w:r w:rsidR="008339C7">
        <w:t xml:space="preserve">für die Schnittpunkte </w:t>
      </w:r>
      <w:r>
        <w:t xml:space="preserve">erhält. </w:t>
      </w:r>
      <w:r w:rsidR="0037428B">
        <w:t>Das gelingt hier dadurch, dass die Gerade durch eine Singularität, den Doppelpunkt, verläuft.</w:t>
      </w:r>
      <w:r>
        <w:t xml:space="preserve"> </w:t>
      </w:r>
    </w:p>
    <w:p w14:paraId="02BD2A49" w14:textId="0F187ADF" w:rsidR="00F436F1" w:rsidRDefault="00F436F1" w:rsidP="00F436F1">
      <w:pPr>
        <w:keepNext/>
        <w:jc w:val="center"/>
      </w:pPr>
      <w:r>
        <w:rPr>
          <w:noProof/>
          <w:lang w:eastAsia="zh-CN"/>
        </w:rPr>
        <w:drawing>
          <wp:inline distT="0" distB="0" distL="0" distR="0" wp14:anchorId="410EF215" wp14:editId="240AD822">
            <wp:extent cx="3599688" cy="86563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9688" cy="865632"/>
                    </a:xfrm>
                    <a:prstGeom prst="rect">
                      <a:avLst/>
                    </a:prstGeom>
                  </pic:spPr>
                </pic:pic>
              </a:graphicData>
            </a:graphic>
          </wp:inline>
        </w:drawing>
      </w:r>
    </w:p>
    <w:p w14:paraId="073C45EF" w14:textId="46B83E5E" w:rsidR="00182474" w:rsidRPr="00182474" w:rsidRDefault="00F436F1" w:rsidP="00D430A8">
      <w:pPr>
        <w:pStyle w:val="Bildunterschrift"/>
      </w:pPr>
      <w:r w:rsidRPr="00F436F1">
        <w:rPr>
          <w:b/>
          <w:bCs/>
        </w:rPr>
        <w:t>Abb. 7</w:t>
      </w:r>
      <w:r w:rsidR="00D430A8">
        <w:rPr>
          <w:b/>
          <w:bCs/>
        </w:rPr>
        <w:t>:</w:t>
      </w:r>
      <w:r w:rsidRPr="00F436F1">
        <w:rPr>
          <w:b/>
          <w:bCs/>
        </w:rPr>
        <w:t xml:space="preserve"> a)</w:t>
      </w:r>
      <w:r>
        <w:t xml:space="preserve"> Trisektrix mit Parameterdarstellung und der Geraden zu deren Herleitung, </w:t>
      </w:r>
      <w:r w:rsidRPr="00D430A8">
        <w:rPr>
          <w:b/>
          <w:bCs/>
        </w:rPr>
        <w:t>b)</w:t>
      </w:r>
      <w:r>
        <w:t xml:space="preserve"> zugehörige rationale Bernstein-Basis, </w:t>
      </w:r>
      <w:r w:rsidRPr="00D430A8">
        <w:rPr>
          <w:b/>
          <w:bCs/>
        </w:rPr>
        <w:t>c)</w:t>
      </w:r>
      <w:r>
        <w:t xml:space="preserve"> Steuer-Gerüste für Trisektix und Kreis</w:t>
      </w:r>
    </w:p>
    <w:p w14:paraId="0A35FBEC" w14:textId="7B819F66" w:rsidR="00BF0D4B" w:rsidRDefault="00F436F1" w:rsidP="00F436F1">
      <w:pPr>
        <w:pStyle w:val="berschrift2"/>
      </w:pPr>
      <w:r>
        <w:t>Zu 2: Rationale Bernsteinpolynome</w:t>
      </w:r>
    </w:p>
    <w:p w14:paraId="3E2E1460" w14:textId="229D00ED" w:rsidR="00857DE4" w:rsidRDefault="0037428B" w:rsidP="00BF0D4B">
      <w:r>
        <w:t xml:space="preserve">Grundlage sind die mit </w:t>
      </w:r>
      <w:proofErr w:type="spellStart"/>
      <w:r>
        <w:t>w</w:t>
      </w:r>
      <w:r>
        <w:rPr>
          <w:vertAlign w:val="subscript"/>
        </w:rPr>
        <w:t>i</w:t>
      </w:r>
      <w:proofErr w:type="spellEnd"/>
      <w:r>
        <w:t xml:space="preserve"> gewichteten Bernsteinpolynome, die wegen der „Summe-1-Bedingung“ noch durch die Summe aller Produkte dividiert werden müssen. </w:t>
      </w:r>
      <w:r w:rsidR="00857DE4">
        <w:t xml:space="preserve">Diese Summe muss hier </w:t>
      </w:r>
      <m:oMath>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m:t>
        </m:r>
      </m:oMath>
      <w:r w:rsidR="00857DE4">
        <w:t xml:space="preserve">ergeben. Das führt durch Koeffizientenvergleich zu den Gewichten </w:t>
      </w:r>
      <m:oMath>
        <m:r>
          <w:rPr>
            <w:rFonts w:ascii="Cambria Math" w:hAnsi="Cambria Math"/>
          </w:rPr>
          <m:t>{1,1,</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,2},</m:t>
        </m:r>
      </m:oMath>
      <w:r w:rsidR="00857DE4">
        <w:t xml:space="preserve"> die dann auch in den Zählern </w:t>
      </w:r>
      <w:r w:rsidR="00672BE4">
        <w:t>V</w:t>
      </w:r>
      <w:r w:rsidR="00857DE4">
        <w:t>erwendung finden, (siehe [1] Seite</w:t>
      </w:r>
      <w:r w:rsidR="00672BE4">
        <w:t xml:space="preserve"> 380).</w:t>
      </w:r>
    </w:p>
    <w:p w14:paraId="2F820E46" w14:textId="5125A67F" w:rsidR="00C621EB" w:rsidRDefault="0037428B" w:rsidP="00BF0D4B">
      <w:r w:rsidRPr="0037428B">
        <w:rPr>
          <w:noProof/>
          <w:lang w:eastAsia="zh-CN"/>
        </w:rPr>
        <w:drawing>
          <wp:inline distT="0" distB="0" distL="0" distR="0" wp14:anchorId="4E9E7BDE" wp14:editId="74A1138E">
            <wp:extent cx="3888740" cy="3219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8740" cy="321945"/>
                    </a:xfrm>
                    <a:prstGeom prst="rect">
                      <a:avLst/>
                    </a:prstGeom>
                  </pic:spPr>
                </pic:pic>
              </a:graphicData>
            </a:graphic>
          </wp:inline>
        </w:drawing>
      </w:r>
      <w:r>
        <w:t xml:space="preserve"> </w:t>
      </w:r>
      <w:r w:rsidR="00C621EB">
        <w:t>Die Abbildung sieht fast so aus wie die der Bernsteinpolynome</w:t>
      </w:r>
      <w:r w:rsidR="00FC1057">
        <w:t xml:space="preserve"> in Abb. 2b)</w:t>
      </w:r>
      <w:r w:rsidR="00C621EB">
        <w:t>,</w:t>
      </w:r>
      <w:r w:rsidR="00FC1057">
        <w:t xml:space="preserve"> </w:t>
      </w:r>
      <w:r w:rsidR="00C621EB">
        <w:t xml:space="preserve">denn der Faktor vor den </w:t>
      </w:r>
      <w:r w:rsidR="00C621EB" w:rsidRPr="007460DA">
        <w:rPr>
          <w:rFonts w:asciiTheme="majorHAnsi" w:hAnsiTheme="majorHAnsi"/>
          <w:i/>
          <w:iCs/>
        </w:rPr>
        <w:t>b</w:t>
      </w:r>
      <w:r w:rsidR="00C621EB" w:rsidRPr="007460DA">
        <w:rPr>
          <w:rFonts w:asciiTheme="majorHAnsi" w:hAnsiTheme="majorHAnsi"/>
          <w:i/>
          <w:iCs/>
          <w:vertAlign w:val="subscript"/>
        </w:rPr>
        <w:t>i</w:t>
      </w:r>
      <w:r w:rsidR="00C621EB">
        <w:t xml:space="preserve"> liegt zwischen null und </w:t>
      </w:r>
      <w:r w:rsidR="00FC1057">
        <w:t>zwei</w:t>
      </w:r>
      <w:r w:rsidR="00C621EB">
        <w:t>.</w:t>
      </w:r>
    </w:p>
    <w:p w14:paraId="08C4A875" w14:textId="68673EA9" w:rsidR="00660FC1" w:rsidRDefault="00672BE4" w:rsidP="00660FC1">
      <w:pPr>
        <w:pStyle w:val="berschrift2"/>
      </w:pPr>
      <w:r>
        <w:t>Zu</w:t>
      </w:r>
      <w:r w:rsidR="008339C7">
        <w:t xml:space="preserve"> </w:t>
      </w:r>
      <w:r>
        <w:t>3: Bestimm</w:t>
      </w:r>
      <w:r w:rsidR="00550BDA">
        <w:t>ung</w:t>
      </w:r>
      <w:r>
        <w:t xml:space="preserve"> der Steuerpunkte</w:t>
      </w:r>
    </w:p>
    <w:p w14:paraId="2BD8BE7D" w14:textId="7A658B0D" w:rsidR="00672BE4" w:rsidRPr="00660FC1" w:rsidRDefault="00660FC1" w:rsidP="00660FC1">
      <w:pPr>
        <w:pStyle w:val="berschrift2"/>
      </w:pPr>
      <m:oMathPara>
        <m:oMath>
          <m:r>
            <w:rPr>
              <w:rFonts w:ascii="Cambria Math" w:hAnsi="Cambria Math"/>
            </w:rPr>
            <m:t>x</m:t>
          </m:r>
          <m:d>
            <m:dPr>
              <m:ctrlPr>
                <w:rPr>
                  <w:rFonts w:ascii="Cambria Math" w:hAnsi="Cambria Math"/>
                  <w:i w:val="0"/>
                </w:rPr>
              </m:ctrlPr>
            </m:dPr>
            <m:e>
              <m:r>
                <w:rPr>
                  <w:rFonts w:ascii="Cambria Math" w:hAnsi="Cambria Math"/>
                </w:rPr>
                <m:t>t</m:t>
              </m:r>
            </m:e>
          </m:d>
          <m:r>
            <w:rPr>
              <w:rFonts w:ascii="Cambria Math" w:hAnsi="Cambria Math"/>
            </w:rPr>
            <m:t>=</m:t>
          </m:r>
          <m:sSub>
            <m:sSubPr>
              <m:ctrlPr>
                <w:rPr>
                  <w:rFonts w:ascii="Cambria Math" w:hAnsi="Cambria Math"/>
                  <w:iCs w:val="0"/>
                </w:rPr>
              </m:ctrlPr>
            </m:sSubPr>
            <m:e>
              <m:r>
                <w:rPr>
                  <w:rFonts w:ascii="Cambria Math" w:hAnsi="Cambria Math"/>
                </w:rPr>
                <m:t>A</m:t>
              </m:r>
            </m:e>
            <m:sub>
              <m:r>
                <w:rPr>
                  <w:rFonts w:ascii="Cambria Math" w:hAnsi="Cambria Math"/>
                </w:rPr>
                <m:t>x</m:t>
              </m:r>
            </m:sub>
          </m:sSub>
          <m:sSub>
            <m:sSubPr>
              <m:ctrlPr>
                <w:rPr>
                  <w:rFonts w:ascii="Cambria Math" w:hAnsi="Cambria Math"/>
                  <w:iCs w:val="0"/>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Cs w:val="0"/>
                </w:rPr>
              </m:ctrlPr>
            </m:sSubPr>
            <m:e>
              <m:r>
                <w:rPr>
                  <w:rFonts w:ascii="Cambria Math" w:hAnsi="Cambria Math"/>
                </w:rPr>
                <m:t>B</m:t>
              </m:r>
            </m:e>
            <m:sub>
              <m:r>
                <w:rPr>
                  <w:rFonts w:ascii="Cambria Math" w:hAnsi="Cambria Math"/>
                </w:rPr>
                <m:t>x</m:t>
              </m:r>
            </m:sub>
          </m:sSub>
          <m:sSub>
            <m:sSubPr>
              <m:ctrlPr>
                <w:rPr>
                  <w:rFonts w:ascii="Cambria Math" w:hAnsi="Cambria Math"/>
                  <w:iCs w:val="0"/>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Cs w:val="0"/>
                </w:rPr>
              </m:ctrlPr>
            </m:sSubPr>
            <m:e>
              <m:r>
                <w:rPr>
                  <w:rFonts w:ascii="Cambria Math" w:hAnsi="Cambria Math"/>
                </w:rPr>
                <m:t>C</m:t>
              </m:r>
            </m:e>
            <m:sub>
              <m:r>
                <w:rPr>
                  <w:rFonts w:ascii="Cambria Math" w:hAnsi="Cambria Math"/>
                </w:rPr>
                <m:t>x</m:t>
              </m:r>
            </m:sub>
          </m:sSub>
          <m:sSub>
            <m:sSubPr>
              <m:ctrlPr>
                <w:rPr>
                  <w:rFonts w:ascii="Cambria Math" w:hAnsi="Cambria Math"/>
                  <w:iCs w:val="0"/>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Cs w:val="0"/>
                </w:rPr>
              </m:ctrlPr>
            </m:sSubPr>
            <m:e>
              <m:r>
                <w:rPr>
                  <w:rFonts w:ascii="Cambria Math" w:hAnsi="Cambria Math"/>
                </w:rPr>
                <m:t>D</m:t>
              </m:r>
            </m:e>
            <m:sub>
              <m:r>
                <w:rPr>
                  <w:rFonts w:ascii="Cambria Math" w:hAnsi="Cambria Math"/>
                </w:rPr>
                <m:t>x</m:t>
              </m:r>
            </m:sub>
          </m:sSub>
          <m:sSub>
            <m:sSubPr>
              <m:ctrlPr>
                <w:rPr>
                  <w:rFonts w:ascii="Cambria Math" w:hAnsi="Cambria Math"/>
                  <w:iCs w:val="0"/>
                </w:rPr>
              </m:ctrlPr>
            </m:sSubPr>
            <m:e>
              <m:r>
                <w:rPr>
                  <w:rFonts w:ascii="Cambria Math" w:hAnsi="Cambria Math"/>
                </w:rPr>
                <m:t>R</m:t>
              </m:r>
            </m:e>
            <m:sub>
              <m:r>
                <w:rPr>
                  <w:rFonts w:ascii="Cambria Math" w:hAnsi="Cambria Math"/>
                </w:rPr>
                <m:t>3</m:t>
              </m:r>
            </m:sub>
          </m:sSub>
          <m:r>
            <w:rPr>
              <w:rFonts w:ascii="Cambria Math" w:hAnsi="Cambria Math"/>
            </w:rPr>
            <m:t>∧y</m:t>
          </m:r>
          <m:d>
            <m:dPr>
              <m:ctrlPr>
                <w:rPr>
                  <w:rFonts w:ascii="Cambria Math" w:hAnsi="Cambria Math"/>
                  <w:i w:val="0"/>
                </w:rPr>
              </m:ctrlPr>
            </m:dPr>
            <m:e>
              <m:r>
                <w:rPr>
                  <w:rFonts w:ascii="Cambria Math" w:hAnsi="Cambria Math"/>
                </w:rPr>
                <m:t>t</m:t>
              </m:r>
            </m:e>
          </m:d>
          <m:r>
            <w:rPr>
              <w:rFonts w:ascii="Cambria Math" w:hAnsi="Cambria Math"/>
            </w:rPr>
            <m:t>=a</m:t>
          </m:r>
          <m:d>
            <m:dPr>
              <m:ctrlPr>
                <w:rPr>
                  <w:rFonts w:ascii="Cambria Math" w:hAnsi="Cambria Math"/>
                  <w:i w:val="0"/>
                </w:rPr>
              </m:ctrlPr>
            </m:dPr>
            <m:e>
              <m:r>
                <w:rPr>
                  <w:rFonts w:ascii="Cambria Math" w:hAnsi="Cambria Math"/>
                </w:rPr>
                <m:t>3-</m:t>
              </m:r>
              <m:sSup>
                <m:sSupPr>
                  <m:ctrlPr>
                    <w:rPr>
                      <w:rFonts w:ascii="Cambria Math" w:hAnsi="Cambria Math"/>
                      <w:iCs w:val="0"/>
                    </w:rPr>
                  </m:ctrlPr>
                </m:sSupPr>
                <m:e>
                  <m:r>
                    <w:rPr>
                      <w:rFonts w:ascii="Cambria Math" w:hAnsi="Cambria Math"/>
                    </w:rPr>
                    <m:t>t</m:t>
                  </m:r>
                </m:e>
                <m:sup>
                  <m:r>
                    <w:rPr>
                      <w:rFonts w:ascii="Cambria Math" w:hAnsi="Cambria Math"/>
                    </w:rPr>
                    <m:t>2</m:t>
                  </m:r>
                </m:sup>
              </m:sSup>
            </m:e>
          </m:d>
        </m:oMath>
      </m:oMathPara>
    </w:p>
    <w:p w14:paraId="0D8CD775" w14:textId="5B660104" w:rsidR="00660FC1" w:rsidRPr="00660FC1" w:rsidRDefault="00660FC1" w:rsidP="00660FC1">
      <w:pPr>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=a t</m:t>
          </m:r>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e>
          </m:d>
        </m:oMath>
      </m:oMathPara>
    </w:p>
    <w:p w14:paraId="264D9582" w14:textId="0C3440CA" w:rsidR="00660FC1" w:rsidRDefault="00550BDA" w:rsidP="00BF0D4B">
      <w:r>
        <w:t xml:space="preserve">Dieses führt durch Koeffizientenvergleich zu </w:t>
      </w:r>
    </w:p>
    <w:p w14:paraId="4BA62CDF" w14:textId="10249EA8" w:rsidR="00550BDA" w:rsidRDefault="00550BDA" w:rsidP="00BF0D4B">
      <m:oMath>
        <m:r>
          <w:rPr>
            <w:rFonts w:ascii="Cambria Math" w:hAnsi="Cambria Math"/>
          </w:rPr>
          <m:t>{A={3a,0},B={3a,a},C={2a,</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a},D={a,a}}</m:t>
        </m:r>
      </m:oMath>
      <w:r>
        <w:t>, (in Abb. 7 c) gezeigt)</w:t>
      </w:r>
      <w:r w:rsidR="00505166">
        <w:t>.</w:t>
      </w:r>
    </w:p>
    <w:p w14:paraId="24EDD95A" w14:textId="406AA880" w:rsidR="00550BDA" w:rsidRDefault="00550BDA" w:rsidP="00BF0D4B">
      <w:r>
        <w:t xml:space="preserve">In [1] und [3] sind diese Rechnungen ausgeführt. </w:t>
      </w:r>
    </w:p>
    <w:p w14:paraId="57CA8236" w14:textId="297EF305" w:rsidR="00550BDA" w:rsidRDefault="00505166" w:rsidP="00505166">
      <w:pPr>
        <w:pStyle w:val="berschrift2"/>
      </w:pPr>
      <w:r>
        <w:t>Zwei rationale Parametrisierungen des Kreises.</w:t>
      </w:r>
    </w:p>
    <w:p w14:paraId="66B9ECD7" w14:textId="67E75FE8" w:rsidR="0087047F" w:rsidRDefault="0068719B" w:rsidP="0087047F">
      <w:r>
        <w:t>Das Gerüst der Steuerpunkte sieht fast aus wie ein Trapez, in Abb. 8 mit zwei Krei</w:t>
      </w:r>
      <w:r w:rsidR="008339C7">
        <w:t>s</w:t>
      </w:r>
      <w:r>
        <w:t xml:space="preserve">tangenten zu sehen. In </w:t>
      </w:r>
      <w:r w:rsidR="0087047F">
        <w:t xml:space="preserve">a) und </w:t>
      </w:r>
      <w:r>
        <w:t>[1, Seite 380] wird es im Uhrzeigersinn durchlaufen</w:t>
      </w:r>
      <w:r w:rsidR="0087047F">
        <w:t>, im b) ihm entgegen, math</w:t>
      </w:r>
      <w:r w:rsidR="008339C7">
        <w:t>e</w:t>
      </w:r>
      <w:r w:rsidR="0087047F">
        <w:t>matisch positiv, wie auch die Trisektrix im 1. Quadranten.</w:t>
      </w:r>
      <w:r>
        <w:t xml:space="preserve"> </w:t>
      </w:r>
    </w:p>
    <w:p w14:paraId="04ACD7A5" w14:textId="24424B23" w:rsidR="0087047F" w:rsidRPr="0087047F" w:rsidRDefault="00655AFB" w:rsidP="00655AFB">
      <w:pPr>
        <w:pStyle w:val="berschrift2"/>
      </w:pPr>
      <w:r>
        <w:t>Metamorphose der Trisektrix in den Kreis</w:t>
      </w:r>
    </w:p>
    <w:p w14:paraId="28801385" w14:textId="3504ECE9" w:rsidR="0068719B" w:rsidRDefault="0068719B" w:rsidP="0068719B">
      <w:pPr>
        <w:keepNext/>
        <w:jc w:val="center"/>
      </w:pPr>
      <w:r>
        <w:rPr>
          <w:noProof/>
          <w:lang w:eastAsia="zh-CN"/>
        </w:rPr>
        <w:drawing>
          <wp:inline distT="0" distB="0" distL="0" distR="0" wp14:anchorId="43AEBD41" wp14:editId="44992DB4">
            <wp:extent cx="3599688" cy="1216152"/>
            <wp:effectExtent l="0" t="0" r="127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9688" cy="1216152"/>
                    </a:xfrm>
                    <a:prstGeom prst="rect">
                      <a:avLst/>
                    </a:prstGeom>
                  </pic:spPr>
                </pic:pic>
              </a:graphicData>
            </a:graphic>
          </wp:inline>
        </w:drawing>
      </w:r>
    </w:p>
    <w:p w14:paraId="7F6AEBC7" w14:textId="3F8B779D" w:rsidR="00550BDA" w:rsidRDefault="0068719B" w:rsidP="00D430A8">
      <w:pPr>
        <w:pStyle w:val="Bildunterschrift"/>
      </w:pPr>
      <w:r w:rsidRPr="0087047F">
        <w:rPr>
          <w:b/>
          <w:bCs/>
        </w:rPr>
        <w:t>Abb. 8</w:t>
      </w:r>
      <w:r w:rsidR="00D430A8">
        <w:rPr>
          <w:b/>
          <w:bCs/>
        </w:rPr>
        <w:t>:</w:t>
      </w:r>
      <w:r>
        <w:t xml:space="preserve"> </w:t>
      </w:r>
      <w:r w:rsidR="0087047F" w:rsidRPr="0087047F">
        <w:rPr>
          <w:b/>
          <w:bCs/>
        </w:rPr>
        <w:t>a)</w:t>
      </w:r>
      <w:r w:rsidR="0087047F">
        <w:t xml:space="preserve"> Gegenläufige, </w:t>
      </w:r>
      <w:r w:rsidR="0087047F" w:rsidRPr="0087047F">
        <w:rPr>
          <w:b/>
          <w:bCs/>
        </w:rPr>
        <w:t>b)</w:t>
      </w:r>
      <w:r w:rsidR="0087047F">
        <w:t xml:space="preserve"> gleichläufige und </w:t>
      </w:r>
      <w:r w:rsidR="0087047F" w:rsidRPr="00A161D3">
        <w:rPr>
          <w:b/>
        </w:rPr>
        <w:t>c)</w:t>
      </w:r>
      <w:r w:rsidR="0087047F">
        <w:t xml:space="preserve"> falsche Zuordnungen der Steuerpunkte von Trisektrix und Kreis.</w:t>
      </w:r>
    </w:p>
    <w:p w14:paraId="13BD7ECD" w14:textId="32572F0F" w:rsidR="0087047F" w:rsidRDefault="00655AFB" w:rsidP="0068719B">
      <w:pPr>
        <w:pStyle w:val="Bildunterschrift"/>
        <w:jc w:val="both"/>
      </w:pPr>
      <w:r>
        <w:t>Es ist in beiden Fällen naheliegend, die Steuerpunkte von Trisektrix und Kreis ineinander zu überführen. Das ist in Abb. 8 auf drei Arten durch lineare Übergänge durchgeführt. Bei c) ist der erste Steuerpunkt auf den letzten abgebildet, die Verwandlung der Trisektrix erreicht dann den Kreis nicht.</w:t>
      </w:r>
    </w:p>
    <w:p w14:paraId="23EE85C3" w14:textId="20CD5778" w:rsidR="00655AFB" w:rsidRPr="00655AFB" w:rsidRDefault="00655AFB" w:rsidP="00655AFB">
      <w:pPr>
        <w:pStyle w:val="berschrift1"/>
      </w:pPr>
      <w:r>
        <w:t xml:space="preserve">Die Versiera als NURBS und ihre Metamorphose </w:t>
      </w:r>
      <w:r w:rsidR="0066472F">
        <w:t>zum</w:t>
      </w:r>
      <w:r>
        <w:t xml:space="preserve"> Kreis</w:t>
      </w:r>
    </w:p>
    <w:p w14:paraId="6A3B0E36" w14:textId="2E910F7A" w:rsidR="00047AFF" w:rsidRDefault="00047AFF" w:rsidP="00047AFF">
      <w:pPr>
        <w:keepNext/>
      </w:pPr>
      <w:r>
        <w:rPr>
          <w:noProof/>
        </w:rPr>
        <w:drawing>
          <wp:inline distT="0" distB="0" distL="0" distR="0" wp14:anchorId="042AC30A" wp14:editId="7788FC05">
            <wp:extent cx="3599688" cy="1234440"/>
            <wp:effectExtent l="0" t="0" r="127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99688" cy="1234440"/>
                    </a:xfrm>
                    <a:prstGeom prst="rect">
                      <a:avLst/>
                    </a:prstGeom>
                  </pic:spPr>
                </pic:pic>
              </a:graphicData>
            </a:graphic>
          </wp:inline>
        </w:drawing>
      </w:r>
    </w:p>
    <w:p w14:paraId="3A651B56" w14:textId="77777777" w:rsidR="00047AFF" w:rsidRDefault="00047AFF" w:rsidP="00047AFF">
      <w:pPr>
        <w:pStyle w:val="Bildunterschrift"/>
        <w:jc w:val="both"/>
      </w:pPr>
      <w:r w:rsidRPr="008F10CC">
        <w:rPr>
          <w:b/>
          <w:bCs/>
        </w:rPr>
        <w:t>Abb. 9</w:t>
      </w:r>
      <w:r>
        <w:rPr>
          <w:b/>
          <w:bCs/>
        </w:rPr>
        <w:t>:</w:t>
      </w:r>
      <w:r>
        <w:t xml:space="preserve"> Die Versiera der Maria </w:t>
      </w:r>
      <w:proofErr w:type="spellStart"/>
      <w:r>
        <w:t>Agnesi</w:t>
      </w:r>
      <w:proofErr w:type="spellEnd"/>
      <w:r>
        <w:t xml:space="preserve"> ist</w:t>
      </w:r>
      <w:r>
        <w:t xml:space="preserve"> in</w:t>
      </w:r>
      <w:r>
        <w:t xml:space="preserve"> der gezeigten Weise Ortskurve von P, wenn E auf der „Nordpol-Geraden“ wandert. Als NURBS kann sie durch Ziehen von D auf K zum Kreis werden. </w:t>
      </w:r>
    </w:p>
    <w:p w14:paraId="6642EF0A" w14:textId="4CAA0DF0" w:rsidR="00045384" w:rsidRDefault="00655AFB" w:rsidP="00047AFF">
      <w:r>
        <w:t xml:space="preserve">Die (weite) Versiera von Maria </w:t>
      </w:r>
      <w:proofErr w:type="spellStart"/>
      <w:r>
        <w:t>Agnesi</w:t>
      </w:r>
      <w:proofErr w:type="spellEnd"/>
      <w:r w:rsidR="00021EC4">
        <w:t xml:space="preserve"> (1748)</w:t>
      </w:r>
      <w:r>
        <w:t>, siehe [</w:t>
      </w:r>
      <w:r w:rsidR="007460DA">
        <w:t>4</w:t>
      </w:r>
      <w:r>
        <w:t xml:space="preserve">, Seite </w:t>
      </w:r>
      <w:r w:rsidR="00021EC4">
        <w:t>79f],</w:t>
      </w:r>
      <w:r w:rsidR="00047AFF">
        <w:t xml:space="preserve"> ist nicht nur einfach geometrisch als Ortskurve zu konstruieren, wie in Abb. 9 angedeutet, sondern sie </w:t>
      </w:r>
      <w:r w:rsidR="00047AFF">
        <w:t xml:space="preserve">ist </w:t>
      </w:r>
      <w:r w:rsidR="00047AFF">
        <w:t xml:space="preserve">auch als Funktion darstellbar. Insofern ist sie den schulischen Möglichkeiten besonders nah. </w:t>
      </w:r>
    </w:p>
    <w:p w14:paraId="3B16C98B" w14:textId="08A830DF" w:rsidR="00DB0FA5" w:rsidRDefault="007A7E1E" w:rsidP="00DB0FA5">
      <w:r>
        <w:t xml:space="preserve">Ihre implizite Gleichung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)y=8 </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 xml:space="preserve"> </m:t>
        </m:r>
      </m:oMath>
      <w:r>
        <w:t xml:space="preserve">zeigt, dass sie </w:t>
      </w:r>
      <w:r w:rsidR="00047AFF">
        <w:t xml:space="preserve">eine algebraische Kurve 3. Grades </w:t>
      </w:r>
      <m:oMath>
        <m:r>
          <w:rPr>
            <w:rFonts w:ascii="Cambria Math" w:hAnsi="Cambria Math"/>
          </w:rPr>
          <m:t xml:space="preserve">ist. </m:t>
        </m:r>
      </m:oMath>
      <w:r w:rsidR="00021EC4">
        <w:t xml:space="preserve"> </w:t>
      </w:r>
      <w:r w:rsidR="00045384">
        <w:t xml:space="preserve">(Dabei ist </w:t>
      </w:r>
      <w:r w:rsidR="00045384" w:rsidRPr="0066472F">
        <w:rPr>
          <w:rFonts w:asciiTheme="majorHAnsi" w:hAnsiTheme="majorHAnsi"/>
          <w:i/>
          <w:iCs/>
        </w:rPr>
        <w:t>a</w:t>
      </w:r>
      <w:r w:rsidR="00045384">
        <w:t xml:space="preserve"> der Kreisradius.) </w:t>
      </w:r>
      <w:r w:rsidR="00021EC4">
        <w:t>Darum</w:t>
      </w:r>
      <w:r w:rsidR="00045384">
        <w:t xml:space="preserve"> man</w:t>
      </w:r>
      <w:r w:rsidR="00021EC4">
        <w:t xml:space="preserve"> kann das </w:t>
      </w:r>
      <w:r w:rsidR="00045384">
        <w:t>für die Trisektrix</w:t>
      </w:r>
      <w:r w:rsidR="00045384">
        <w:t xml:space="preserve"> </w:t>
      </w:r>
      <w:r w:rsidR="00021EC4">
        <w:t>vorgestellte Vorgehen leicht übertragen.</w:t>
      </w:r>
      <w:r w:rsidR="00045384">
        <w:t xml:space="preserve"> Für eine rationale Parametrisierung bringt man die Gerade </w:t>
      </w:r>
      <m:oMath>
        <m:r>
          <w:rPr>
            <w:rFonts w:ascii="Cambria Math" w:hAnsi="Cambria Math"/>
          </w:rPr>
          <m:t>y=2a-t x</m:t>
        </m:r>
      </m:oMath>
      <w:r w:rsidR="00045384">
        <w:t xml:space="preserve">, mit dem Kreis zum Schnitt und erhält </w:t>
      </w:r>
      <m:oMath>
        <m:r>
          <w:rPr>
            <w:rFonts w:ascii="Cambria Math" w:hAnsi="Cambria Math"/>
          </w:rPr>
          <m:t>x(t)=2 a t=</m:t>
        </m:r>
        <m:f>
          <m:fPr>
            <m:ctrlPr>
              <w:rPr>
                <w:rFonts w:ascii="Cambria Math" w:hAnsi="Cambria Math"/>
                <w:i/>
              </w:rPr>
            </m:ctrlPr>
          </m:fPr>
          <m:num>
            <m:r>
              <w:rPr>
                <w:rFonts w:ascii="Cambria Math" w:hAnsi="Cambria Math"/>
              </w:rPr>
              <m:t xml:space="preserve">2 a t -2a </m:t>
            </m:r>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3D23CC">
        <w:t xml:space="preserve">, </w:t>
      </w:r>
      <w:r w:rsidR="003D23CC" w:rsidRPr="0066472F">
        <w:rPr>
          <w:i/>
          <w:iCs/>
        </w:rPr>
        <w:t>y(t)=</w:t>
      </w:r>
      <w:r w:rsidR="003D23CC" w:rsidRPr="0066472F">
        <w:rPr>
          <w:rFonts w:ascii="Cambria Math" w:hAnsi="Cambria Math"/>
          <w:i/>
          <w:iCs/>
        </w:rPr>
        <w:t xml:space="preserve"> </w:t>
      </w:r>
      <m:oMath>
        <m:f>
          <m:fPr>
            <m:ctrlPr>
              <w:rPr>
                <w:rFonts w:ascii="Cambria Math" w:hAnsi="Cambria Math"/>
                <w:i/>
                <w:iCs/>
              </w:rPr>
            </m:ctrlPr>
          </m:fPr>
          <m:num>
            <m:r>
              <w:rPr>
                <w:rFonts w:ascii="Cambria Math" w:hAnsi="Cambria Math"/>
              </w:rPr>
              <m:t xml:space="preserve">2 a </m:t>
            </m:r>
          </m:num>
          <m:den>
            <m:r>
              <w:rPr>
                <w:rFonts w:ascii="Cambria Math" w:hAnsi="Cambria Math"/>
              </w:rPr>
              <m:t>1+</m:t>
            </m:r>
            <m:sSup>
              <m:sSupPr>
                <m:ctrlPr>
                  <w:rPr>
                    <w:rFonts w:ascii="Cambria Math" w:hAnsi="Cambria Math"/>
                    <w:i/>
                    <w:iCs/>
                  </w:rPr>
                </m:ctrlPr>
              </m:sSupPr>
              <m:e>
                <m:r>
                  <w:rPr>
                    <w:rFonts w:ascii="Cambria Math" w:hAnsi="Cambria Math"/>
                  </w:rPr>
                  <m:t>t</m:t>
                </m:r>
              </m:e>
              <m:sup>
                <m:r>
                  <w:rPr>
                    <w:rFonts w:ascii="Cambria Math" w:hAnsi="Cambria Math"/>
                  </w:rPr>
                  <m:t>2</m:t>
                </m:r>
              </m:sup>
            </m:sSup>
          </m:den>
        </m:f>
      </m:oMath>
      <w:r w:rsidR="0014780C">
        <w:rPr>
          <w:rFonts w:ascii="Cambria Math" w:hAnsi="Cambria Math"/>
          <w:i/>
        </w:rPr>
        <w:t xml:space="preserve">. </w:t>
      </w:r>
      <w:r w:rsidR="0014780C">
        <w:rPr>
          <w:rFonts w:ascii="Cambria Math" w:hAnsi="Cambria Math"/>
          <w:iCs/>
        </w:rPr>
        <w:t>Die Gewichte sind dieselben wie bei der Trisektrix, denn der Nenner ist derselbe, die Basiselemente R</w:t>
      </w:r>
      <w:r w:rsidR="0014780C">
        <w:rPr>
          <w:rFonts w:ascii="Cambria Math" w:hAnsi="Cambria Math"/>
          <w:iCs/>
          <w:vertAlign w:val="subscript"/>
        </w:rPr>
        <w:t>i</w:t>
      </w:r>
      <w:r w:rsidR="0014780C">
        <w:rPr>
          <w:rFonts w:ascii="Cambria Math" w:hAnsi="Cambria Math"/>
          <w:iCs/>
        </w:rPr>
        <w:t xml:space="preserve"> stimmen überein.  </w:t>
      </w:r>
      <w:r w:rsidR="000403D6">
        <w:t xml:space="preserve">Es ergeben sich die Steuerpunkte A, B, C, D in Abb. 9, die fast dieselben sind, wie A, B, C, K für den die Versiera </w:t>
      </w:r>
      <w:r w:rsidR="000403D6" w:rsidRPr="00A161D3">
        <w:t>erzeugenden Kreis</w:t>
      </w:r>
      <w:r w:rsidR="000403D6">
        <w:t xml:space="preserve">. Eine Metamorphose </w:t>
      </w:r>
      <w:r w:rsidR="00A161D3">
        <w:t xml:space="preserve">zum Kreis </w:t>
      </w:r>
      <w:r w:rsidR="000403D6">
        <w:t xml:space="preserve">erhält man, </w:t>
      </w:r>
      <w:r w:rsidR="008F10CC">
        <w:t>indem man D als Punkt J irgendwie auf K wandern lässt.</w:t>
      </w:r>
      <w:r w:rsidR="0014780C">
        <w:t xml:space="preserve"> </w:t>
      </w:r>
      <w:r w:rsidR="00DB0FA5">
        <w:t>Dabei wird allerdings der Ursprung für große Parameterwerte nur angenähert.</w:t>
      </w:r>
    </w:p>
    <w:p w14:paraId="12ED56DB" w14:textId="30E3EA46" w:rsidR="00047AFF" w:rsidRDefault="00405F16" w:rsidP="00047AFF">
      <w:pPr>
        <w:pStyle w:val="berschrift1"/>
      </w:pPr>
      <w:r>
        <w:t xml:space="preserve">Fazit und </w:t>
      </w:r>
      <w:r w:rsidR="00047AFF">
        <w:t>Ausblick</w:t>
      </w:r>
    </w:p>
    <w:p w14:paraId="408A3615" w14:textId="210A21DB" w:rsidR="006D17F2" w:rsidRDefault="0014780C" w:rsidP="00047AFF">
      <w:r>
        <w:t xml:space="preserve">So kann man bei allen algebraischen Kurven </w:t>
      </w:r>
      <w:r w:rsidR="00A161D3">
        <w:t xml:space="preserve">bis zum </w:t>
      </w:r>
      <w:r>
        <w:t>dritten Grad vorgehen</w:t>
      </w:r>
      <w:r w:rsidR="00A161D3">
        <w:t>, insbesondere für alle Kegelschnitte</w:t>
      </w:r>
      <w:r>
        <w:t xml:space="preserve">. </w:t>
      </w:r>
      <w:r w:rsidR="00047AFF" w:rsidRPr="00A161D3">
        <w:t>Bei Kurven höheren Grades</w:t>
      </w:r>
      <w:r>
        <w:t>,</w:t>
      </w:r>
      <w:r w:rsidR="00047AFF" w:rsidRPr="00A161D3">
        <w:t xml:space="preserve"> </w:t>
      </w:r>
      <w:r w:rsidR="00047AFF" w:rsidRPr="0066472F">
        <w:rPr>
          <w:rFonts w:asciiTheme="majorHAnsi" w:hAnsiTheme="majorHAnsi"/>
          <w:i/>
          <w:iCs/>
        </w:rPr>
        <w:t>p≥</w:t>
      </w:r>
      <w:r w:rsidRPr="0066472F">
        <w:rPr>
          <w:rFonts w:asciiTheme="majorHAnsi" w:hAnsiTheme="majorHAnsi"/>
          <w:i/>
          <w:iCs/>
        </w:rPr>
        <w:t>4</w:t>
      </w:r>
      <w:r>
        <w:t>,</w:t>
      </w:r>
      <w:r w:rsidR="00047AFF" w:rsidRPr="00A161D3">
        <w:t xml:space="preserve"> </w:t>
      </w:r>
      <w:r w:rsidR="006D17F2">
        <w:t xml:space="preserve">müsste man </w:t>
      </w:r>
      <w:r w:rsidR="00047AFF" w:rsidRPr="00A161D3">
        <w:t>zu den Bernsteinpolynome</w:t>
      </w:r>
      <w:r w:rsidR="00712C20">
        <w:t>n</w:t>
      </w:r>
      <w:r w:rsidR="00047AFF" w:rsidRPr="00A161D3">
        <w:t xml:space="preserve"> entsprechenden Grades</w:t>
      </w:r>
      <w:r w:rsidR="00712C20">
        <w:t xml:space="preserve"> p</w:t>
      </w:r>
      <w:r w:rsidR="00047AFF" w:rsidRPr="00A161D3">
        <w:t xml:space="preserve"> greifen, die man </w:t>
      </w:r>
      <w:r>
        <w:t>durch Entwicklung der Formel</w:t>
      </w:r>
      <w:r w:rsidR="00047AFF" w:rsidRPr="00A161D3">
        <w:t xml:space="preserve"> </w:t>
      </w:r>
      <m:oMath>
        <m:sSup>
          <m:sSupPr>
            <m:ctrlPr>
              <w:rPr>
                <w:rFonts w:ascii="Cambria Math" w:hAnsi="Cambria Math"/>
                <w:i/>
              </w:rPr>
            </m:ctrlPr>
          </m:sSupPr>
          <m:e>
            <m:r>
              <w:rPr>
                <w:rFonts w:ascii="Cambria Math" w:hAnsi="Cambria Math"/>
              </w:rPr>
              <m:t>((1-x) + x)</m:t>
            </m:r>
          </m:e>
          <m:sup>
            <m:r>
              <w:rPr>
                <w:rFonts w:ascii="Cambria Math" w:hAnsi="Cambria Math"/>
              </w:rPr>
              <m:t>p</m:t>
            </m:r>
          </m:sup>
        </m:sSup>
      </m:oMath>
      <w:r w:rsidR="00047AFF" w:rsidRPr="00A161D3">
        <w:t xml:space="preserve"> erhält.</w:t>
      </w:r>
      <w:r>
        <w:t xml:space="preserve"> Die Zahl der Steuerpunkte ist entsprechend zu erhöhen.</w:t>
      </w:r>
      <w:r w:rsidR="006D17F2">
        <w:t xml:space="preserve"> </w:t>
      </w:r>
    </w:p>
    <w:p w14:paraId="05EB7E40" w14:textId="0220CA8B" w:rsidR="00405F16" w:rsidRPr="00DB0FA5" w:rsidRDefault="00712C20" w:rsidP="00405F16">
      <w:r>
        <w:t xml:space="preserve">Mit </w:t>
      </w:r>
      <w:r w:rsidR="00405F16">
        <w:t>NURBS</w:t>
      </w:r>
      <w:r>
        <w:t xml:space="preserve"> kann man beliebige Kurven entwerfen, sie</w:t>
      </w:r>
      <w:r w:rsidR="00405F16">
        <w:t xml:space="preserve"> eröffnen sehr freie Handlungsweisen. Nachträgliche Bewegung jedes Steuerpunktes ist möglich, man kann geometrische Abbildungen auf die von </w:t>
      </w:r>
      <w:r w:rsidR="00C05425">
        <w:t>NURBS</w:t>
      </w:r>
      <w:r w:rsidR="00405F16">
        <w:t xml:space="preserve"> erzeugten Kurven anwenden, indem man lediglich die Steuerpunkte abbildet. Daher eignen sie sich für Design-Aufgaben und für Animationen.</w:t>
      </w:r>
    </w:p>
    <w:p w14:paraId="336E66DA" w14:textId="68CC57C8" w:rsidR="00B57D95" w:rsidRDefault="00B57D95" w:rsidP="00B57D95">
      <w:pPr>
        <w:pStyle w:val="Lit"/>
      </w:pPr>
      <w:r>
        <w:t>Literatur</w:t>
      </w:r>
    </w:p>
    <w:p w14:paraId="027EBE96" w14:textId="265BE591" w:rsidR="004F7F63" w:rsidRDefault="00A07D1C" w:rsidP="00F2556E">
      <w:pPr>
        <w:pStyle w:val="Lit0"/>
      </w:pPr>
      <w:r>
        <w:t>[</w:t>
      </w:r>
      <w:r w:rsidR="00B43C44">
        <w:t>1</w:t>
      </w:r>
      <w:r>
        <w:t>]</w:t>
      </w:r>
      <w:r w:rsidR="00B43C44">
        <w:t xml:space="preserve"> </w:t>
      </w:r>
      <w:r w:rsidR="004F7F63">
        <w:t>Haftendorn, Dörte; Riebesehl, Dieter; Dammer, Hubert (2021). Höhere Mathematik sehen und Verstehen, Heidelberg, Springer Spektrum Verlag</w:t>
      </w:r>
    </w:p>
    <w:p w14:paraId="2D6C7883" w14:textId="515EFA95" w:rsidR="00B57D95" w:rsidRDefault="00B43C44" w:rsidP="00F2556E">
      <w:pPr>
        <w:pStyle w:val="Lit0"/>
      </w:pPr>
      <w:r>
        <w:t xml:space="preserve">[2] </w:t>
      </w:r>
      <w:r w:rsidR="00B57D95">
        <w:t>Haftendorn, Dörte. (201</w:t>
      </w:r>
      <w:r w:rsidR="004F7F63">
        <w:t>8</w:t>
      </w:r>
      <w:r w:rsidR="00B57D95">
        <w:t xml:space="preserve">). Mathematik sehen und Verstehen, </w:t>
      </w:r>
      <w:r w:rsidR="004F7F63">
        <w:t xml:space="preserve">3. Aufl. </w:t>
      </w:r>
      <w:r w:rsidR="00B57D95">
        <w:t>Heidelberg, Springer Spektrum Verlag</w:t>
      </w:r>
    </w:p>
    <w:p w14:paraId="4E998F19" w14:textId="354BAE42" w:rsidR="004F7F63" w:rsidRDefault="00B43C44" w:rsidP="002037D6">
      <w:pPr>
        <w:pStyle w:val="Lit0"/>
      </w:pPr>
      <w:r>
        <w:t xml:space="preserve">[3] </w:t>
      </w:r>
      <w:r w:rsidR="004F7F63" w:rsidRPr="00B57D95">
        <w:t>Haftendorn, D</w:t>
      </w:r>
      <w:r w:rsidR="004F7F63">
        <w:t>örte</w:t>
      </w:r>
      <w:r w:rsidR="004F7F63" w:rsidRPr="00B57D95">
        <w:t xml:space="preserve">. </w:t>
      </w:r>
      <w:r w:rsidR="004F7F63">
        <w:t>(20</w:t>
      </w:r>
      <w:r w:rsidR="00B21E25">
        <w:t>2</w:t>
      </w:r>
      <w:r w:rsidR="004F7F63">
        <w:t xml:space="preserve">1) </w:t>
      </w:r>
      <w:hyperlink r:id="rId21" w:history="1">
        <w:r w:rsidR="00651072" w:rsidRPr="00AE2D31">
          <w:rPr>
            <w:rStyle w:val="Hyperlink"/>
          </w:rPr>
          <w:t>http://www.mathematik-sehen-und-verstehen.de</w:t>
        </w:r>
      </w:hyperlink>
      <w:r w:rsidR="00B21E25">
        <w:t xml:space="preserve"> </w:t>
      </w:r>
      <w:r w:rsidR="002037D6">
        <w:t xml:space="preserve">Website </w:t>
      </w:r>
      <w:r w:rsidR="00B21E25">
        <w:t>für diese beiden Bücher</w:t>
      </w:r>
    </w:p>
    <w:p w14:paraId="77295A39" w14:textId="49B57B00" w:rsidR="004F7F63" w:rsidRDefault="00B43C44" w:rsidP="00F2556E">
      <w:pPr>
        <w:pStyle w:val="Lit0"/>
      </w:pPr>
      <w:r>
        <w:t xml:space="preserve">[4] </w:t>
      </w:r>
      <w:r w:rsidR="004F7F63">
        <w:t>Haftendorn, Dörte. (2017). Kurven erkunden und Verstehen. Heidelberg, Springer Spektrum Verlag</w:t>
      </w:r>
    </w:p>
    <w:p w14:paraId="7A1E9C4E" w14:textId="6B405B3B" w:rsidR="00B21E25" w:rsidRPr="00A161D3" w:rsidRDefault="00B43C44" w:rsidP="00F2556E">
      <w:pPr>
        <w:pStyle w:val="Lit0"/>
        <w:rPr>
          <w:lang w:val="en-US"/>
        </w:rPr>
      </w:pPr>
      <w:r>
        <w:t xml:space="preserve">[5] </w:t>
      </w:r>
      <w:proofErr w:type="spellStart"/>
      <w:r w:rsidR="00B21E25" w:rsidRPr="00F2556E">
        <w:t>Piegl</w:t>
      </w:r>
      <w:proofErr w:type="spellEnd"/>
      <w:r w:rsidR="00B21E25" w:rsidRPr="00F2556E">
        <w:t xml:space="preserve">, </w:t>
      </w:r>
      <w:proofErr w:type="spellStart"/>
      <w:r w:rsidR="00B21E25" w:rsidRPr="00F2556E">
        <w:t>Les</w:t>
      </w:r>
      <w:proofErr w:type="spellEnd"/>
      <w:r w:rsidR="00B21E25" w:rsidRPr="00F2556E">
        <w:t xml:space="preserve">; Tiller, Wayne (1997): The NURBS Book. </w:t>
      </w:r>
      <w:r w:rsidR="00B21E25" w:rsidRPr="00A161D3">
        <w:rPr>
          <w:lang w:val="en-US"/>
        </w:rPr>
        <w:t>Second Edition. Berlin, Heidelberg:</w:t>
      </w:r>
      <w:r w:rsidR="00F2556E" w:rsidRPr="00A161D3">
        <w:rPr>
          <w:lang w:val="en-US"/>
        </w:rPr>
        <w:t xml:space="preserve"> </w:t>
      </w:r>
      <w:r w:rsidR="00B21E25" w:rsidRPr="00A161D3">
        <w:rPr>
          <w:lang w:val="en-US"/>
        </w:rPr>
        <w:t>Springer (Monographs in Visual Communication).</w:t>
      </w:r>
      <w:r w:rsidR="00F2556E" w:rsidRPr="00A161D3">
        <w:rPr>
          <w:lang w:val="en-US"/>
        </w:rPr>
        <w:t xml:space="preserve">  </w:t>
      </w:r>
    </w:p>
    <w:p w14:paraId="07184DB5" w14:textId="6596F5F2" w:rsidR="00F2556E" w:rsidRDefault="00B43C44" w:rsidP="00F2556E">
      <w:pPr>
        <w:pStyle w:val="Lit0"/>
      </w:pPr>
      <w:r>
        <w:t xml:space="preserve">[6] </w:t>
      </w:r>
      <w:r w:rsidR="00F2556E">
        <w:t xml:space="preserve">Walser, Hans: Die Modellierung des schönen Scheins, (2011) </w:t>
      </w:r>
      <w:r w:rsidR="00A27AB3">
        <w:br/>
      </w:r>
      <w:hyperlink r:id="rId22" w:history="1">
        <w:r w:rsidR="00C163B0" w:rsidRPr="00AE2D31">
          <w:rPr>
            <w:rStyle w:val="Hyperlink"/>
          </w:rPr>
          <w:t>http://www.mathematikinformation.info/pdf2/MI155Walser</w:t>
        </w:r>
      </w:hyperlink>
      <w:r w:rsidR="002037D6">
        <w:t xml:space="preserve">  </w:t>
      </w:r>
    </w:p>
    <w:p w14:paraId="3F0AE55E" w14:textId="77777777" w:rsidR="00375B24" w:rsidRDefault="00375B24">
      <w:pPr>
        <w:spacing w:before="0" w:after="0" w:line="240" w:lineRule="auto"/>
        <w:jc w:val="left"/>
      </w:pPr>
      <w:r>
        <w:br w:type="page"/>
      </w:r>
    </w:p>
    <w:p w14:paraId="200E10A8" w14:textId="77777777" w:rsidR="00375B24" w:rsidRDefault="00375B24" w:rsidP="00C77EB8">
      <w:pPr>
        <w:pStyle w:val="Anschrift"/>
      </w:pPr>
    </w:p>
    <w:p w14:paraId="56A1B7C6" w14:textId="77777777" w:rsidR="00375B24" w:rsidRDefault="00375B24" w:rsidP="00C77EB8">
      <w:pPr>
        <w:pStyle w:val="Anschrift"/>
      </w:pPr>
    </w:p>
    <w:p w14:paraId="1514105B" w14:textId="77777777" w:rsidR="009A23B1" w:rsidRDefault="009A23B1" w:rsidP="00C77EB8">
      <w:pPr>
        <w:pStyle w:val="Anschrift"/>
      </w:pPr>
      <w:r>
        <w:t xml:space="preserve">Adresse der Autorin: </w:t>
      </w:r>
    </w:p>
    <w:p w14:paraId="3DC43C57" w14:textId="77777777" w:rsidR="004863B8" w:rsidRDefault="004863B8" w:rsidP="00C77EB8">
      <w:pPr>
        <w:pStyle w:val="Anschrift"/>
      </w:pPr>
    </w:p>
    <w:p w14:paraId="2C4BA1CF" w14:textId="77777777" w:rsidR="009A23B1" w:rsidRDefault="009A23B1" w:rsidP="00C77EB8">
      <w:pPr>
        <w:pStyle w:val="Anschrift"/>
        <w:rPr>
          <w:lang w:val="fr-FR"/>
        </w:rPr>
      </w:pPr>
      <w:r>
        <w:rPr>
          <w:lang w:val="fr-FR"/>
        </w:rPr>
        <w:t xml:space="preserve">Prof. Dr. </w:t>
      </w:r>
      <w:r w:rsidR="00375B24">
        <w:rPr>
          <w:lang w:val="fr-FR"/>
        </w:rPr>
        <w:t>Dörte Haftendorn</w:t>
      </w:r>
    </w:p>
    <w:p w14:paraId="3CE7356A" w14:textId="5A024737" w:rsidR="004F7F63" w:rsidRDefault="004F7F63" w:rsidP="00C77EB8">
      <w:pPr>
        <w:pStyle w:val="Anschrift"/>
        <w:rPr>
          <w:lang w:val="it-IT"/>
        </w:rPr>
      </w:pPr>
      <w:r>
        <w:rPr>
          <w:lang w:val="it-IT"/>
        </w:rPr>
        <w:t>Barckhausenstr. 44</w:t>
      </w:r>
    </w:p>
    <w:p w14:paraId="5E9F2B7B" w14:textId="6A3CE341" w:rsidR="009A23B1" w:rsidRDefault="00375B24" w:rsidP="00C77EB8">
      <w:pPr>
        <w:pStyle w:val="Anschrift"/>
        <w:rPr>
          <w:lang w:val="it-IT"/>
        </w:rPr>
      </w:pPr>
      <w:r>
        <w:rPr>
          <w:lang w:val="it-IT"/>
        </w:rPr>
        <w:t>21335</w:t>
      </w:r>
      <w:r w:rsidR="009A23B1">
        <w:rPr>
          <w:lang w:val="it-IT"/>
        </w:rPr>
        <w:t xml:space="preserve"> </w:t>
      </w:r>
      <w:r>
        <w:rPr>
          <w:lang w:val="it-IT"/>
        </w:rPr>
        <w:t>Lüneburg</w:t>
      </w:r>
    </w:p>
    <w:p w14:paraId="1B53F29D" w14:textId="77777777" w:rsidR="009354DF" w:rsidRDefault="009354DF" w:rsidP="00C77EB8">
      <w:pPr>
        <w:pStyle w:val="Anschrift"/>
        <w:rPr>
          <w:lang w:val="it-IT"/>
        </w:rPr>
      </w:pPr>
    </w:p>
    <w:p w14:paraId="7E8F3E35" w14:textId="77777777" w:rsidR="009A23B1" w:rsidRDefault="00375B24" w:rsidP="00C77EB8">
      <w:pPr>
        <w:pStyle w:val="Anschrift"/>
        <w:rPr>
          <w:lang w:val="it-IT"/>
        </w:rPr>
      </w:pPr>
      <w:r>
        <w:rPr>
          <w:lang w:val="it-IT"/>
        </w:rPr>
        <w:t>Haftendorn</w:t>
      </w:r>
      <w:r w:rsidR="00394F7B" w:rsidRPr="00D30A83">
        <w:rPr>
          <w:lang w:val="it-IT"/>
        </w:rPr>
        <w:t>@uni</w:t>
      </w:r>
      <w:r>
        <w:rPr>
          <w:lang w:val="it-IT"/>
        </w:rPr>
        <w:t>.leuphana.</w:t>
      </w:r>
      <w:r w:rsidR="00394F7B" w:rsidRPr="00D30A83">
        <w:rPr>
          <w:lang w:val="it-IT"/>
        </w:rPr>
        <w:t>de</w:t>
      </w:r>
    </w:p>
    <w:p w14:paraId="58527AE7" w14:textId="1089CE10" w:rsidR="00ED3D2B" w:rsidRDefault="00ED3D2B">
      <w:pPr>
        <w:spacing w:before="0" w:after="0" w:line="240" w:lineRule="auto"/>
        <w:jc w:val="left"/>
        <w:rPr>
          <w:lang w:val="it-IT"/>
        </w:rPr>
      </w:pPr>
    </w:p>
    <w:sectPr w:rsidR="00ED3D2B" w:rsidSect="00AC5F99">
      <w:headerReference w:type="even" r:id="rId23"/>
      <w:headerReference w:type="default" r:id="rId24"/>
      <w:footerReference w:type="even" r:id="rId25"/>
      <w:footerReference w:type="default" r:id="rId26"/>
      <w:headerReference w:type="first" r:id="rId27"/>
      <w:footerReference w:type="first" r:id="rId28"/>
      <w:pgSz w:w="8392" w:h="11907" w:code="11"/>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5924" w14:textId="77777777" w:rsidR="00FF4CD6" w:rsidRDefault="00FF4CD6" w:rsidP="006B50A2">
      <w:r>
        <w:separator/>
      </w:r>
    </w:p>
  </w:endnote>
  <w:endnote w:type="continuationSeparator" w:id="0">
    <w:p w14:paraId="4483E408" w14:textId="77777777" w:rsidR="00FF4CD6" w:rsidRDefault="00FF4CD6" w:rsidP="006B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AB67" w14:textId="77777777" w:rsidR="00C05425" w:rsidRDefault="00C05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077B" w14:textId="77777777" w:rsidR="00C05425" w:rsidRDefault="00C054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755E" w14:textId="77777777" w:rsidR="00C05425" w:rsidRDefault="00C054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66B4" w14:textId="77777777" w:rsidR="00FF4CD6" w:rsidRDefault="00FF4CD6" w:rsidP="006B50A2">
      <w:r>
        <w:separator/>
      </w:r>
    </w:p>
  </w:footnote>
  <w:footnote w:type="continuationSeparator" w:id="0">
    <w:p w14:paraId="011E187A" w14:textId="77777777" w:rsidR="00FF4CD6" w:rsidRDefault="00FF4CD6" w:rsidP="006B50A2">
      <w:r>
        <w:continuationSeparator/>
      </w:r>
    </w:p>
  </w:footnote>
  <w:footnote w:id="1">
    <w:p w14:paraId="526673E4" w14:textId="0EEB6318" w:rsidR="00610023" w:rsidRDefault="00610023">
      <w:pPr>
        <w:pStyle w:val="Funotentext"/>
      </w:pPr>
      <w:r>
        <w:rPr>
          <w:rStyle w:val="Funotenzeichen"/>
        </w:rPr>
        <w:footnoteRef/>
      </w:r>
      <w:r>
        <w:t xml:space="preserve"> </w:t>
      </w:r>
      <w:r w:rsidR="00A642AF">
        <w:t xml:space="preserve">De </w:t>
      </w:r>
      <w:proofErr w:type="spellStart"/>
      <w:r w:rsidR="00A642AF">
        <w:t>Castel</w:t>
      </w:r>
      <w:r w:rsidR="004633A7">
        <w:t>j</w:t>
      </w:r>
      <w:r w:rsidR="00A642AF">
        <w:t>au</w:t>
      </w:r>
      <w:proofErr w:type="spellEnd"/>
      <w:r w:rsidR="00A642AF">
        <w:t xml:space="preserve"> fand ebenfalls diese Lösung des Designproblems für </w:t>
      </w:r>
      <w:proofErr w:type="spellStart"/>
      <w:r w:rsidR="00A642AF">
        <w:t>Citroёn</w:t>
      </w:r>
      <w:proofErr w:type="spellEnd"/>
      <w:r w:rsidR="00A642AF">
        <w:t xml:space="preserve">-Autos, durfte sie aber nicht veröffentlichen. Nach ihm ist heute der numerisch geschickte Berechnungsalgorithmus benannt.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E73C" w14:textId="77777777" w:rsidR="00C05425" w:rsidRDefault="00C054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894C" w14:textId="77777777" w:rsidR="00C05425" w:rsidRDefault="00C054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C539" w14:textId="77777777" w:rsidR="00C05425" w:rsidRDefault="00C05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5" type="#_x0000_t75" style="width:9pt;height:9pt" o:bullet="t">
        <v:imagedata r:id="rId1" o:title=""/>
      </v:shape>
    </w:pict>
  </w:numPicBullet>
  <w:abstractNum w:abstractNumId="0" w15:restartNumberingAfterBreak="0">
    <w:nsid w:val="06CC73B5"/>
    <w:multiLevelType w:val="hybridMultilevel"/>
    <w:tmpl w:val="7B18E8DC"/>
    <w:lvl w:ilvl="0" w:tplc="EFF4ECAE">
      <w:start w:val="1"/>
      <w:numFmt w:val="bullet"/>
      <w:lvlText w:val=""/>
      <w:lvlJc w:val="left"/>
      <w:pPr>
        <w:tabs>
          <w:tab w:val="num" w:pos="360"/>
        </w:tabs>
        <w:ind w:left="360" w:hanging="360"/>
      </w:pPr>
      <w:rPr>
        <w:rFonts w:ascii="Symbol" w:hAnsi="Symbol" w:cs="Times New Roman" w:hint="default"/>
        <w:sz w:val="20"/>
        <w:szCs w:val="2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Times New Roman" w:hint="default"/>
      </w:rPr>
    </w:lvl>
    <w:lvl w:ilvl="3" w:tplc="04070001">
      <w:start w:val="1"/>
      <w:numFmt w:val="bullet"/>
      <w:lvlText w:val=""/>
      <w:lvlJc w:val="left"/>
      <w:pPr>
        <w:tabs>
          <w:tab w:val="num" w:pos="2520"/>
        </w:tabs>
        <w:ind w:left="2520" w:hanging="360"/>
      </w:pPr>
      <w:rPr>
        <w:rFonts w:ascii="Symbol" w:hAnsi="Symbol" w:cs="Times New Roman"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Times New Roman" w:hint="default"/>
      </w:rPr>
    </w:lvl>
    <w:lvl w:ilvl="6" w:tplc="04070001">
      <w:start w:val="1"/>
      <w:numFmt w:val="bullet"/>
      <w:lvlText w:val=""/>
      <w:lvlJc w:val="left"/>
      <w:pPr>
        <w:tabs>
          <w:tab w:val="num" w:pos="4680"/>
        </w:tabs>
        <w:ind w:left="4680" w:hanging="360"/>
      </w:pPr>
      <w:rPr>
        <w:rFonts w:ascii="Symbol" w:hAnsi="Symbol" w:cs="Times New Roman"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9DC7FD4"/>
    <w:multiLevelType w:val="hybridMultilevel"/>
    <w:tmpl w:val="363AA2DE"/>
    <w:lvl w:ilvl="0" w:tplc="B68E1104">
      <w:start w:val="1"/>
      <w:numFmt w:val="bullet"/>
      <w:pStyle w:val="Auf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376F1"/>
    <w:multiLevelType w:val="hybridMultilevel"/>
    <w:tmpl w:val="90CC748E"/>
    <w:lvl w:ilvl="0" w:tplc="CB481836">
      <w:start w:val="1"/>
      <w:numFmt w:val="decimal"/>
      <w:pStyle w:val="Auf2"/>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19EA5E09"/>
    <w:multiLevelType w:val="multilevel"/>
    <w:tmpl w:val="86F6339A"/>
    <w:lvl w:ilvl="0">
      <w:start w:val="1"/>
      <w:numFmt w:val="bullet"/>
      <w:lvlText w:val=""/>
      <w:lvlJc w:val="left"/>
      <w:pPr>
        <w:tabs>
          <w:tab w:val="num" w:pos="170"/>
        </w:tabs>
        <w:ind w:left="170" w:hanging="170"/>
      </w:pPr>
      <w:rPr>
        <w:rFonts w:ascii="Symbol" w:hAnsi="Symbol"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CD5112E"/>
    <w:multiLevelType w:val="multilevel"/>
    <w:tmpl w:val="08DEA5BA"/>
    <w:lvl w:ilvl="0">
      <w:start w:val="1"/>
      <w:numFmt w:val="bullet"/>
      <w:lvlText w:val=""/>
      <w:lvlJc w:val="left"/>
      <w:pPr>
        <w:tabs>
          <w:tab w:val="num" w:pos="360"/>
        </w:tabs>
        <w:ind w:left="360" w:hanging="360"/>
      </w:pPr>
      <w:rPr>
        <w:rFonts w:ascii="Symbol" w:hAnsi="Symbol"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40F72BC"/>
    <w:multiLevelType w:val="multilevel"/>
    <w:tmpl w:val="86F6339A"/>
    <w:lvl w:ilvl="0">
      <w:start w:val="1"/>
      <w:numFmt w:val="bullet"/>
      <w:lvlText w:val=""/>
      <w:lvlJc w:val="left"/>
      <w:pPr>
        <w:tabs>
          <w:tab w:val="num" w:pos="170"/>
        </w:tabs>
        <w:ind w:left="170" w:hanging="170"/>
      </w:pPr>
      <w:rPr>
        <w:rFonts w:ascii="Symbol" w:hAnsi="Symbol"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D994FC1"/>
    <w:multiLevelType w:val="hybridMultilevel"/>
    <w:tmpl w:val="EAFE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4074F0"/>
    <w:multiLevelType w:val="multilevel"/>
    <w:tmpl w:val="1004D3E6"/>
    <w:lvl w:ilvl="0">
      <w:start w:val="1"/>
      <w:numFmt w:val="bullet"/>
      <w:lvlText w:val=""/>
      <w:lvlJc w:val="left"/>
      <w:pPr>
        <w:tabs>
          <w:tab w:val="num" w:pos="0"/>
        </w:tabs>
        <w:ind w:left="170" w:hanging="170"/>
      </w:pPr>
      <w:rPr>
        <w:rFonts w:ascii="Symbol" w:hAnsi="Symbol" w:cs="Times New Roman" w:hint="default"/>
        <w:sz w:val="16"/>
        <w:szCs w:val="16"/>
      </w:rPr>
    </w:lvl>
    <w:lvl w:ilvl="1">
      <w:start w:val="1"/>
      <w:numFmt w:val="decimal"/>
      <w:lvlText w:val="%2."/>
      <w:lvlJc w:val="left"/>
      <w:pPr>
        <w:tabs>
          <w:tab w:val="num" w:pos="1440"/>
        </w:tabs>
        <w:ind w:left="1440" w:hanging="360"/>
      </w:pPr>
      <w:rPr>
        <w:rFonts w:hint="default"/>
        <w:sz w:val="16"/>
        <w:szCs w:val="16"/>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53E7C08"/>
    <w:multiLevelType w:val="hybridMultilevel"/>
    <w:tmpl w:val="1C4A9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0F5EB0"/>
    <w:multiLevelType w:val="hybridMultilevel"/>
    <w:tmpl w:val="082A872A"/>
    <w:lvl w:ilvl="0" w:tplc="BAC00C36">
      <w:start w:val="1"/>
      <w:numFmt w:val="bullet"/>
      <w:pStyle w:val="Aufzhlung"/>
      <w:lvlText w:val=""/>
      <w:lvlJc w:val="left"/>
      <w:pPr>
        <w:tabs>
          <w:tab w:val="num" w:pos="0"/>
        </w:tabs>
        <w:ind w:left="170" w:hanging="170"/>
      </w:pPr>
      <w:rPr>
        <w:rFonts w:ascii="Symbol" w:hAnsi="Symbol" w:cs="Times New Roman"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6835C8E"/>
    <w:multiLevelType w:val="hybridMultilevel"/>
    <w:tmpl w:val="388EE8D2"/>
    <w:lvl w:ilvl="0" w:tplc="3C9EE4DA">
      <w:start w:val="1"/>
      <w:numFmt w:val="decimal"/>
      <w:pStyle w:val="AufzhlungZahl"/>
      <w:lvlText w:val="%1."/>
      <w:lvlJc w:val="left"/>
      <w:pPr>
        <w:tabs>
          <w:tab w:val="num" w:pos="0"/>
        </w:tabs>
        <w:ind w:left="340" w:hanging="340"/>
      </w:pPr>
      <w:rPr>
        <w:rFonts w:hint="default"/>
        <w:sz w:val="16"/>
        <w:szCs w:val="16"/>
      </w:rPr>
    </w:lvl>
    <w:lvl w:ilvl="1" w:tplc="0407000F">
      <w:start w:val="1"/>
      <w:numFmt w:val="decimal"/>
      <w:lvlText w:val="%2."/>
      <w:lvlJc w:val="left"/>
      <w:pPr>
        <w:tabs>
          <w:tab w:val="num" w:pos="1440"/>
        </w:tabs>
        <w:ind w:left="1440" w:hanging="360"/>
      </w:pPr>
      <w:rPr>
        <w:rFonts w:hint="default"/>
        <w:sz w:val="16"/>
        <w:szCs w:val="16"/>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4"/>
  </w:num>
  <w:num w:numId="3">
    <w:abstractNumId w:val="3"/>
  </w:num>
  <w:num w:numId="4">
    <w:abstractNumId w:val="5"/>
  </w:num>
  <w:num w:numId="5">
    <w:abstractNumId w:val="7"/>
  </w:num>
  <w:num w:numId="6">
    <w:abstractNumId w:val="9"/>
  </w:num>
  <w:num w:numId="7">
    <w:abstractNumId w:val="0"/>
  </w:num>
  <w:num w:numId="8">
    <w:abstractNumId w:val="1"/>
  </w:num>
  <w:num w:numId="9">
    <w:abstractNumId w:val="6"/>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26"/>
    <w:rsid w:val="000012FA"/>
    <w:rsid w:val="0001097A"/>
    <w:rsid w:val="00021EC4"/>
    <w:rsid w:val="00025AF9"/>
    <w:rsid w:val="00032723"/>
    <w:rsid w:val="000403D6"/>
    <w:rsid w:val="00045384"/>
    <w:rsid w:val="00047AFF"/>
    <w:rsid w:val="000616CA"/>
    <w:rsid w:val="00066A85"/>
    <w:rsid w:val="0006777D"/>
    <w:rsid w:val="00067BF7"/>
    <w:rsid w:val="00071296"/>
    <w:rsid w:val="0007359C"/>
    <w:rsid w:val="00086036"/>
    <w:rsid w:val="00086D33"/>
    <w:rsid w:val="00091402"/>
    <w:rsid w:val="000A2D3E"/>
    <w:rsid w:val="000A65F1"/>
    <w:rsid w:val="000B5022"/>
    <w:rsid w:val="000C1C47"/>
    <w:rsid w:val="000C20C6"/>
    <w:rsid w:val="000C2D89"/>
    <w:rsid w:val="000F2A6D"/>
    <w:rsid w:val="000F4079"/>
    <w:rsid w:val="0012063F"/>
    <w:rsid w:val="001343DC"/>
    <w:rsid w:val="0013441A"/>
    <w:rsid w:val="0014780C"/>
    <w:rsid w:val="001573C0"/>
    <w:rsid w:val="0016092A"/>
    <w:rsid w:val="0016342A"/>
    <w:rsid w:val="0017356A"/>
    <w:rsid w:val="00175456"/>
    <w:rsid w:val="00182474"/>
    <w:rsid w:val="001827C4"/>
    <w:rsid w:val="001A6A87"/>
    <w:rsid w:val="001F443D"/>
    <w:rsid w:val="001F6C45"/>
    <w:rsid w:val="00203153"/>
    <w:rsid w:val="002037D6"/>
    <w:rsid w:val="00231058"/>
    <w:rsid w:val="002342C9"/>
    <w:rsid w:val="00240D1B"/>
    <w:rsid w:val="0024415E"/>
    <w:rsid w:val="002810A8"/>
    <w:rsid w:val="002826F6"/>
    <w:rsid w:val="002837EF"/>
    <w:rsid w:val="0029314D"/>
    <w:rsid w:val="00294825"/>
    <w:rsid w:val="00294EC2"/>
    <w:rsid w:val="002B00B7"/>
    <w:rsid w:val="002D1F31"/>
    <w:rsid w:val="003005C4"/>
    <w:rsid w:val="00302D30"/>
    <w:rsid w:val="003058B2"/>
    <w:rsid w:val="00313257"/>
    <w:rsid w:val="0032072F"/>
    <w:rsid w:val="00354850"/>
    <w:rsid w:val="003571C3"/>
    <w:rsid w:val="00370271"/>
    <w:rsid w:val="0037106D"/>
    <w:rsid w:val="0037428B"/>
    <w:rsid w:val="0037574C"/>
    <w:rsid w:val="00375B24"/>
    <w:rsid w:val="003807AE"/>
    <w:rsid w:val="003837B0"/>
    <w:rsid w:val="00394F7B"/>
    <w:rsid w:val="003953D4"/>
    <w:rsid w:val="003A1CA6"/>
    <w:rsid w:val="003A207C"/>
    <w:rsid w:val="003A5EBA"/>
    <w:rsid w:val="003B2E0D"/>
    <w:rsid w:val="003C31D7"/>
    <w:rsid w:val="003C6AC1"/>
    <w:rsid w:val="003D23CC"/>
    <w:rsid w:val="003E6F55"/>
    <w:rsid w:val="003F0B78"/>
    <w:rsid w:val="003F1DC1"/>
    <w:rsid w:val="004042D7"/>
    <w:rsid w:val="00405F16"/>
    <w:rsid w:val="00410AD7"/>
    <w:rsid w:val="004132CA"/>
    <w:rsid w:val="00415B1E"/>
    <w:rsid w:val="0042746C"/>
    <w:rsid w:val="00430088"/>
    <w:rsid w:val="00434C4C"/>
    <w:rsid w:val="00444881"/>
    <w:rsid w:val="00446336"/>
    <w:rsid w:val="0044709A"/>
    <w:rsid w:val="00450474"/>
    <w:rsid w:val="004633A7"/>
    <w:rsid w:val="00465658"/>
    <w:rsid w:val="0046760A"/>
    <w:rsid w:val="004712D5"/>
    <w:rsid w:val="004717A6"/>
    <w:rsid w:val="00484CC0"/>
    <w:rsid w:val="004863B8"/>
    <w:rsid w:val="0048672B"/>
    <w:rsid w:val="00491538"/>
    <w:rsid w:val="004A2A73"/>
    <w:rsid w:val="004C1AE9"/>
    <w:rsid w:val="004D3EA5"/>
    <w:rsid w:val="004D3F9B"/>
    <w:rsid w:val="004D6D05"/>
    <w:rsid w:val="004E3E33"/>
    <w:rsid w:val="004E4821"/>
    <w:rsid w:val="004F6BAA"/>
    <w:rsid w:val="004F7F63"/>
    <w:rsid w:val="00500AC6"/>
    <w:rsid w:val="00501874"/>
    <w:rsid w:val="00505166"/>
    <w:rsid w:val="0052169A"/>
    <w:rsid w:val="0054502B"/>
    <w:rsid w:val="00545D90"/>
    <w:rsid w:val="00550BDA"/>
    <w:rsid w:val="0056742B"/>
    <w:rsid w:val="00574024"/>
    <w:rsid w:val="00581EDA"/>
    <w:rsid w:val="005820BC"/>
    <w:rsid w:val="005A1092"/>
    <w:rsid w:val="005A77D1"/>
    <w:rsid w:val="005C33B2"/>
    <w:rsid w:val="005C3BE5"/>
    <w:rsid w:val="005C6086"/>
    <w:rsid w:val="005D03A8"/>
    <w:rsid w:val="005E7914"/>
    <w:rsid w:val="005F51E9"/>
    <w:rsid w:val="005F6C75"/>
    <w:rsid w:val="00602E65"/>
    <w:rsid w:val="00603793"/>
    <w:rsid w:val="00610023"/>
    <w:rsid w:val="00616436"/>
    <w:rsid w:val="00627C77"/>
    <w:rsid w:val="00631C15"/>
    <w:rsid w:val="00641203"/>
    <w:rsid w:val="006452BA"/>
    <w:rsid w:val="00651072"/>
    <w:rsid w:val="00655AFB"/>
    <w:rsid w:val="00660FC1"/>
    <w:rsid w:val="006617B9"/>
    <w:rsid w:val="0066472F"/>
    <w:rsid w:val="00670161"/>
    <w:rsid w:val="00672893"/>
    <w:rsid w:val="00672A41"/>
    <w:rsid w:val="00672BE4"/>
    <w:rsid w:val="00681994"/>
    <w:rsid w:val="0068719B"/>
    <w:rsid w:val="006930D7"/>
    <w:rsid w:val="0069574D"/>
    <w:rsid w:val="006A5D32"/>
    <w:rsid w:val="006B1BA2"/>
    <w:rsid w:val="006B3628"/>
    <w:rsid w:val="006B4EC1"/>
    <w:rsid w:val="006B50A2"/>
    <w:rsid w:val="006B5E18"/>
    <w:rsid w:val="006C409F"/>
    <w:rsid w:val="006D17F2"/>
    <w:rsid w:val="006D7368"/>
    <w:rsid w:val="006E48E3"/>
    <w:rsid w:val="006F440F"/>
    <w:rsid w:val="00705F63"/>
    <w:rsid w:val="00712C20"/>
    <w:rsid w:val="00713FCA"/>
    <w:rsid w:val="00717190"/>
    <w:rsid w:val="00723B4B"/>
    <w:rsid w:val="0072524E"/>
    <w:rsid w:val="0073327E"/>
    <w:rsid w:val="00737897"/>
    <w:rsid w:val="007460DA"/>
    <w:rsid w:val="00754675"/>
    <w:rsid w:val="0076741B"/>
    <w:rsid w:val="0077204A"/>
    <w:rsid w:val="00784AD5"/>
    <w:rsid w:val="00791157"/>
    <w:rsid w:val="00797895"/>
    <w:rsid w:val="007A7E1E"/>
    <w:rsid w:val="007B1F02"/>
    <w:rsid w:val="007B6985"/>
    <w:rsid w:val="007C4139"/>
    <w:rsid w:val="007D1511"/>
    <w:rsid w:val="007D347E"/>
    <w:rsid w:val="007D497C"/>
    <w:rsid w:val="007E5CD0"/>
    <w:rsid w:val="007F18A0"/>
    <w:rsid w:val="007F55AC"/>
    <w:rsid w:val="008005B7"/>
    <w:rsid w:val="00806A14"/>
    <w:rsid w:val="008159EE"/>
    <w:rsid w:val="0081746D"/>
    <w:rsid w:val="00820EB9"/>
    <w:rsid w:val="00824EEE"/>
    <w:rsid w:val="00825C55"/>
    <w:rsid w:val="00831BC1"/>
    <w:rsid w:val="008339C7"/>
    <w:rsid w:val="008345EE"/>
    <w:rsid w:val="008446CD"/>
    <w:rsid w:val="008453C3"/>
    <w:rsid w:val="00856882"/>
    <w:rsid w:val="00857DE4"/>
    <w:rsid w:val="0087047F"/>
    <w:rsid w:val="00876738"/>
    <w:rsid w:val="008955F6"/>
    <w:rsid w:val="008C1E5F"/>
    <w:rsid w:val="008C4866"/>
    <w:rsid w:val="008D60FA"/>
    <w:rsid w:val="008E197A"/>
    <w:rsid w:val="008E5044"/>
    <w:rsid w:val="008E5E2F"/>
    <w:rsid w:val="008E6CF5"/>
    <w:rsid w:val="008E6D70"/>
    <w:rsid w:val="008F10CC"/>
    <w:rsid w:val="00911B4B"/>
    <w:rsid w:val="0091515E"/>
    <w:rsid w:val="009227DB"/>
    <w:rsid w:val="00924A10"/>
    <w:rsid w:val="0093329D"/>
    <w:rsid w:val="0093450C"/>
    <w:rsid w:val="009354DF"/>
    <w:rsid w:val="00942423"/>
    <w:rsid w:val="00952DB7"/>
    <w:rsid w:val="0095546F"/>
    <w:rsid w:val="00956DBC"/>
    <w:rsid w:val="00965D0E"/>
    <w:rsid w:val="00967CA5"/>
    <w:rsid w:val="00977391"/>
    <w:rsid w:val="009857B2"/>
    <w:rsid w:val="00992644"/>
    <w:rsid w:val="00994C8A"/>
    <w:rsid w:val="009A23B1"/>
    <w:rsid w:val="009B4B16"/>
    <w:rsid w:val="009C62CB"/>
    <w:rsid w:val="009D00E8"/>
    <w:rsid w:val="009D3D69"/>
    <w:rsid w:val="009D4AD7"/>
    <w:rsid w:val="009D658B"/>
    <w:rsid w:val="009E5CEC"/>
    <w:rsid w:val="009E7832"/>
    <w:rsid w:val="00A01573"/>
    <w:rsid w:val="00A07D1C"/>
    <w:rsid w:val="00A152CD"/>
    <w:rsid w:val="00A161D3"/>
    <w:rsid w:val="00A24765"/>
    <w:rsid w:val="00A27AB3"/>
    <w:rsid w:val="00A310DC"/>
    <w:rsid w:val="00A34F3F"/>
    <w:rsid w:val="00A3636E"/>
    <w:rsid w:val="00A37A9A"/>
    <w:rsid w:val="00A47B16"/>
    <w:rsid w:val="00A642AF"/>
    <w:rsid w:val="00A65B97"/>
    <w:rsid w:val="00A73DDF"/>
    <w:rsid w:val="00A81D4A"/>
    <w:rsid w:val="00A82B84"/>
    <w:rsid w:val="00AA0AF0"/>
    <w:rsid w:val="00AA7747"/>
    <w:rsid w:val="00AB1153"/>
    <w:rsid w:val="00AB1AE3"/>
    <w:rsid w:val="00AB4B2C"/>
    <w:rsid w:val="00AB51A3"/>
    <w:rsid w:val="00AC226A"/>
    <w:rsid w:val="00AC5F99"/>
    <w:rsid w:val="00AC705E"/>
    <w:rsid w:val="00AC71E0"/>
    <w:rsid w:val="00AD4DEA"/>
    <w:rsid w:val="00AD5D67"/>
    <w:rsid w:val="00AD7B8E"/>
    <w:rsid w:val="00AE04A3"/>
    <w:rsid w:val="00AE0AEC"/>
    <w:rsid w:val="00AE7E76"/>
    <w:rsid w:val="00AF5445"/>
    <w:rsid w:val="00B069B8"/>
    <w:rsid w:val="00B07B05"/>
    <w:rsid w:val="00B107A8"/>
    <w:rsid w:val="00B1698B"/>
    <w:rsid w:val="00B179CA"/>
    <w:rsid w:val="00B21CA3"/>
    <w:rsid w:val="00B21E25"/>
    <w:rsid w:val="00B24346"/>
    <w:rsid w:val="00B31C39"/>
    <w:rsid w:val="00B3282A"/>
    <w:rsid w:val="00B35A53"/>
    <w:rsid w:val="00B43C44"/>
    <w:rsid w:val="00B500D6"/>
    <w:rsid w:val="00B51759"/>
    <w:rsid w:val="00B51D77"/>
    <w:rsid w:val="00B554D9"/>
    <w:rsid w:val="00B57D95"/>
    <w:rsid w:val="00B62144"/>
    <w:rsid w:val="00B739E9"/>
    <w:rsid w:val="00B746EE"/>
    <w:rsid w:val="00B84788"/>
    <w:rsid w:val="00B908AC"/>
    <w:rsid w:val="00BB2B15"/>
    <w:rsid w:val="00BB68D8"/>
    <w:rsid w:val="00BC24FA"/>
    <w:rsid w:val="00BC6B43"/>
    <w:rsid w:val="00BF0D4B"/>
    <w:rsid w:val="00BF2B4D"/>
    <w:rsid w:val="00BF71CE"/>
    <w:rsid w:val="00C03116"/>
    <w:rsid w:val="00C05425"/>
    <w:rsid w:val="00C11078"/>
    <w:rsid w:val="00C163B0"/>
    <w:rsid w:val="00C26B88"/>
    <w:rsid w:val="00C30B37"/>
    <w:rsid w:val="00C36181"/>
    <w:rsid w:val="00C532A9"/>
    <w:rsid w:val="00C53B68"/>
    <w:rsid w:val="00C54B53"/>
    <w:rsid w:val="00C621EB"/>
    <w:rsid w:val="00C728EB"/>
    <w:rsid w:val="00C737DA"/>
    <w:rsid w:val="00C7451B"/>
    <w:rsid w:val="00C76989"/>
    <w:rsid w:val="00C77EB8"/>
    <w:rsid w:val="00C8017A"/>
    <w:rsid w:val="00C93390"/>
    <w:rsid w:val="00C95168"/>
    <w:rsid w:val="00C97C0D"/>
    <w:rsid w:val="00CA5915"/>
    <w:rsid w:val="00CB0B9D"/>
    <w:rsid w:val="00CB191C"/>
    <w:rsid w:val="00CB22E7"/>
    <w:rsid w:val="00CC1B10"/>
    <w:rsid w:val="00CC2453"/>
    <w:rsid w:val="00CC6443"/>
    <w:rsid w:val="00CC65C8"/>
    <w:rsid w:val="00CE1600"/>
    <w:rsid w:val="00CE3ACA"/>
    <w:rsid w:val="00CF188C"/>
    <w:rsid w:val="00CF3820"/>
    <w:rsid w:val="00CF60A7"/>
    <w:rsid w:val="00D00AFF"/>
    <w:rsid w:val="00D01581"/>
    <w:rsid w:val="00D10997"/>
    <w:rsid w:val="00D12DBA"/>
    <w:rsid w:val="00D27E10"/>
    <w:rsid w:val="00D30A83"/>
    <w:rsid w:val="00D430A8"/>
    <w:rsid w:val="00D5092E"/>
    <w:rsid w:val="00D5150B"/>
    <w:rsid w:val="00D64FC1"/>
    <w:rsid w:val="00D72E70"/>
    <w:rsid w:val="00D871D2"/>
    <w:rsid w:val="00D87F26"/>
    <w:rsid w:val="00D91315"/>
    <w:rsid w:val="00D9575D"/>
    <w:rsid w:val="00DB0FA5"/>
    <w:rsid w:val="00DB1FC9"/>
    <w:rsid w:val="00DC396F"/>
    <w:rsid w:val="00DD26B7"/>
    <w:rsid w:val="00DD35D6"/>
    <w:rsid w:val="00DD571F"/>
    <w:rsid w:val="00DD6C31"/>
    <w:rsid w:val="00DE3684"/>
    <w:rsid w:val="00DE4B5F"/>
    <w:rsid w:val="00DF7BC2"/>
    <w:rsid w:val="00E14499"/>
    <w:rsid w:val="00E2438A"/>
    <w:rsid w:val="00E250A7"/>
    <w:rsid w:val="00E26163"/>
    <w:rsid w:val="00E30C97"/>
    <w:rsid w:val="00E423F7"/>
    <w:rsid w:val="00E46746"/>
    <w:rsid w:val="00E613F7"/>
    <w:rsid w:val="00E61A9A"/>
    <w:rsid w:val="00E72EAD"/>
    <w:rsid w:val="00E77504"/>
    <w:rsid w:val="00E947FD"/>
    <w:rsid w:val="00EA34E0"/>
    <w:rsid w:val="00EA6768"/>
    <w:rsid w:val="00EB1376"/>
    <w:rsid w:val="00EB2978"/>
    <w:rsid w:val="00EB4014"/>
    <w:rsid w:val="00ED3D2B"/>
    <w:rsid w:val="00EE0B0D"/>
    <w:rsid w:val="00EE5AE5"/>
    <w:rsid w:val="00EF3D97"/>
    <w:rsid w:val="00EF6DFE"/>
    <w:rsid w:val="00EF7E9A"/>
    <w:rsid w:val="00F049DC"/>
    <w:rsid w:val="00F133E3"/>
    <w:rsid w:val="00F21226"/>
    <w:rsid w:val="00F2224B"/>
    <w:rsid w:val="00F25034"/>
    <w:rsid w:val="00F2556E"/>
    <w:rsid w:val="00F274F3"/>
    <w:rsid w:val="00F436F1"/>
    <w:rsid w:val="00F524B5"/>
    <w:rsid w:val="00F66526"/>
    <w:rsid w:val="00F67A40"/>
    <w:rsid w:val="00F67CB8"/>
    <w:rsid w:val="00F81713"/>
    <w:rsid w:val="00F84AA9"/>
    <w:rsid w:val="00F86CBB"/>
    <w:rsid w:val="00F94254"/>
    <w:rsid w:val="00F95B73"/>
    <w:rsid w:val="00F969CC"/>
    <w:rsid w:val="00F96F3C"/>
    <w:rsid w:val="00FA0C73"/>
    <w:rsid w:val="00FB01D4"/>
    <w:rsid w:val="00FB7410"/>
    <w:rsid w:val="00FC1057"/>
    <w:rsid w:val="00FC3930"/>
    <w:rsid w:val="00FD3783"/>
    <w:rsid w:val="00FD51EA"/>
    <w:rsid w:val="00FD69BF"/>
    <w:rsid w:val="00FE467D"/>
    <w:rsid w:val="00FF31E7"/>
    <w:rsid w:val="00FF4C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2CCA7"/>
  <w15:docId w15:val="{499FB4E6-2729-4F4D-92CE-48C4B426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4EC2"/>
    <w:pPr>
      <w:spacing w:before="120" w:after="120" w:line="276" w:lineRule="auto"/>
      <w:jc w:val="both"/>
    </w:pPr>
  </w:style>
  <w:style w:type="paragraph" w:styleId="berschrift1">
    <w:name w:val="heading 1"/>
    <w:aliases w:val="Ü1"/>
    <w:basedOn w:val="Standard"/>
    <w:next w:val="Standard"/>
    <w:qFormat/>
    <w:pPr>
      <w:keepNext/>
      <w:spacing w:before="360" w:after="180" w:line="300" w:lineRule="atLeast"/>
      <w:jc w:val="left"/>
      <w:outlineLvl w:val="0"/>
    </w:pPr>
    <w:rPr>
      <w:b/>
      <w:bCs/>
      <w:kern w:val="28"/>
    </w:rPr>
  </w:style>
  <w:style w:type="paragraph" w:styleId="berschrift2">
    <w:name w:val="heading 2"/>
    <w:aliases w:val="Ü2"/>
    <w:basedOn w:val="Standard"/>
    <w:next w:val="Standard"/>
    <w:link w:val="berschrift2Zchn"/>
    <w:qFormat/>
    <w:rsid w:val="005C3BE5"/>
    <w:pPr>
      <w:keepNext/>
      <w:spacing w:before="180" w:after="40"/>
      <w:jc w:val="left"/>
      <w:outlineLvl w:val="1"/>
    </w:pPr>
    <w:rPr>
      <w:i/>
      <w:iCs/>
    </w:rPr>
  </w:style>
  <w:style w:type="paragraph" w:styleId="berschrift3">
    <w:name w:val="heading 3"/>
    <w:basedOn w:val="Standard"/>
    <w:next w:val="Standard"/>
    <w:qFormat/>
    <w:pPr>
      <w:keepNext/>
      <w:spacing w:before="240"/>
      <w:jc w:val="left"/>
      <w:outlineLvl w:val="2"/>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link w:val="berschrift2"/>
    <w:rsid w:val="00911B4B"/>
    <w:rPr>
      <w:i/>
      <w:iCs/>
    </w:rPr>
  </w:style>
  <w:style w:type="paragraph" w:customStyle="1" w:styleId="Abstract">
    <w:name w:val="Abstract"/>
    <w:basedOn w:val="Standard"/>
    <w:qFormat/>
    <w:pPr>
      <w:spacing w:line="240" w:lineRule="auto"/>
    </w:pPr>
    <w:rPr>
      <w:sz w:val="18"/>
      <w:szCs w:val="18"/>
    </w:rPr>
  </w:style>
  <w:style w:type="paragraph" w:styleId="Funotentext">
    <w:name w:val="footnote text"/>
    <w:basedOn w:val="Standard"/>
    <w:semiHidden/>
    <w:rsid w:val="00294EC2"/>
    <w:pPr>
      <w:spacing w:before="40" w:after="0" w:line="240" w:lineRule="auto"/>
    </w:pPr>
    <w:rPr>
      <w:sz w:val="18"/>
      <w:szCs w:val="18"/>
    </w:rPr>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customStyle="1" w:styleId="Aufzhlung">
    <w:name w:val="Aufzählung"/>
    <w:basedOn w:val="berschrift2"/>
    <w:link w:val="AufzhlungZchn"/>
    <w:pPr>
      <w:numPr>
        <w:numId w:val="6"/>
      </w:numPr>
      <w:spacing w:before="60" w:after="60"/>
    </w:pPr>
    <w:rPr>
      <w:i w:val="0"/>
      <w:iCs w:val="0"/>
    </w:rPr>
  </w:style>
  <w:style w:type="character" w:customStyle="1" w:styleId="AufzhlungZchn">
    <w:name w:val="Aufzählung Zchn"/>
    <w:basedOn w:val="berschrift2Zchn"/>
    <w:link w:val="Aufzhlung"/>
    <w:rsid w:val="00911B4B"/>
    <w:rPr>
      <w:i/>
      <w:iCs/>
    </w:rPr>
  </w:style>
  <w:style w:type="paragraph" w:customStyle="1" w:styleId="AufzhlungZahl">
    <w:name w:val="AufzählungZahl"/>
    <w:basedOn w:val="Aufzhlung"/>
    <w:link w:val="AufzhlungZahlZchn"/>
    <w:rsid w:val="00911B4B"/>
    <w:pPr>
      <w:numPr>
        <w:numId w:val="1"/>
      </w:numPr>
      <w:ind w:left="284" w:hanging="284"/>
    </w:pPr>
  </w:style>
  <w:style w:type="character" w:customStyle="1" w:styleId="AufzhlungZahlZchn">
    <w:name w:val="AufzählungZahl Zchn"/>
    <w:basedOn w:val="AufzhlungZchn"/>
    <w:link w:val="AufzhlungZahl"/>
    <w:rsid w:val="00911B4B"/>
    <w:rPr>
      <w:i/>
      <w:iCs/>
    </w:rPr>
  </w:style>
  <w:style w:type="paragraph" w:styleId="Titel">
    <w:name w:val="Title"/>
    <w:basedOn w:val="Standard"/>
    <w:qFormat/>
    <w:rsid w:val="004D6D05"/>
    <w:pPr>
      <w:spacing w:before="240" w:line="0" w:lineRule="atLeast"/>
      <w:jc w:val="center"/>
      <w:outlineLvl w:val="0"/>
    </w:pPr>
    <w:rPr>
      <w:b/>
      <w:bCs/>
      <w:kern w:val="28"/>
      <w:sz w:val="24"/>
      <w:szCs w:val="24"/>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customStyle="1" w:styleId="Auf1">
    <w:name w:val="Auf1"/>
    <w:basedOn w:val="Standard"/>
    <w:link w:val="Auf1Zchn"/>
    <w:qFormat/>
    <w:rsid w:val="00AC71E0"/>
    <w:pPr>
      <w:numPr>
        <w:numId w:val="8"/>
      </w:numPr>
      <w:spacing w:before="60" w:after="60"/>
      <w:ind w:left="568" w:hanging="284"/>
    </w:pPr>
  </w:style>
  <w:style w:type="character" w:customStyle="1" w:styleId="Auf1Zchn">
    <w:name w:val="Auf1 Zchn"/>
    <w:basedOn w:val="Absatz-Standardschriftart"/>
    <w:link w:val="Auf1"/>
    <w:rsid w:val="00AC71E0"/>
  </w:style>
  <w:style w:type="paragraph" w:customStyle="1" w:styleId="Autor">
    <w:name w:val="Autor"/>
    <w:basedOn w:val="Standard"/>
    <w:link w:val="AutorZchn"/>
    <w:qFormat/>
    <w:rsid w:val="008005B7"/>
    <w:pPr>
      <w:spacing w:after="180"/>
      <w:jc w:val="center"/>
    </w:pPr>
    <w:rPr>
      <w:b/>
      <w:bCs/>
    </w:rPr>
  </w:style>
  <w:style w:type="character" w:customStyle="1" w:styleId="AutorZchn">
    <w:name w:val="Autor Zchn"/>
    <w:link w:val="Autor"/>
    <w:rsid w:val="008005B7"/>
    <w:rPr>
      <w:b/>
      <w:bCs/>
    </w:rPr>
  </w:style>
  <w:style w:type="paragraph" w:styleId="Zitat">
    <w:name w:val="Quote"/>
    <w:basedOn w:val="Standard"/>
    <w:link w:val="ZitatZchn"/>
    <w:qFormat/>
    <w:rsid w:val="00B107A8"/>
    <w:pPr>
      <w:ind w:left="170" w:right="170"/>
    </w:pPr>
    <w:rPr>
      <w:i/>
      <w:iCs/>
      <w:sz w:val="18"/>
      <w:szCs w:val="18"/>
    </w:rPr>
  </w:style>
  <w:style w:type="character" w:customStyle="1" w:styleId="ZitatZchn">
    <w:name w:val="Zitat Zchn"/>
    <w:link w:val="Zitat"/>
    <w:rsid w:val="00B107A8"/>
    <w:rPr>
      <w:i/>
      <w:iCs/>
      <w:sz w:val="18"/>
      <w:szCs w:val="18"/>
    </w:rPr>
  </w:style>
  <w:style w:type="paragraph" w:customStyle="1" w:styleId="Bildunterschrift">
    <w:name w:val="Bildunterschrift"/>
    <w:basedOn w:val="Standard"/>
    <w:link w:val="BildunterschriftZchnZchn"/>
    <w:qFormat/>
    <w:rsid w:val="00C7451B"/>
    <w:pPr>
      <w:spacing w:before="0" w:after="200"/>
      <w:jc w:val="center"/>
    </w:pPr>
    <w:rPr>
      <w:sz w:val="16"/>
      <w:szCs w:val="16"/>
    </w:rPr>
  </w:style>
  <w:style w:type="character" w:customStyle="1" w:styleId="BildunterschriftZchnZchn">
    <w:name w:val="Bildunterschrift Zchn Zchn"/>
    <w:link w:val="Bildunterschrift"/>
    <w:rsid w:val="00C7451B"/>
    <w:rPr>
      <w:sz w:val="16"/>
      <w:szCs w:val="16"/>
    </w:rPr>
  </w:style>
  <w:style w:type="paragraph" w:customStyle="1" w:styleId="Auf2">
    <w:name w:val="Auf2"/>
    <w:basedOn w:val="AufzhlungZahl"/>
    <w:link w:val="AufzhlungNummerZchn"/>
    <w:qFormat/>
    <w:rsid w:val="00825C55"/>
    <w:pPr>
      <w:keepNext w:val="0"/>
      <w:numPr>
        <w:numId w:val="11"/>
      </w:numPr>
      <w:ind w:left="568" w:hanging="284"/>
    </w:pPr>
  </w:style>
  <w:style w:type="paragraph" w:customStyle="1" w:styleId="Lit">
    <w:name w:val="Ü_Lit"/>
    <w:basedOn w:val="Standard"/>
    <w:link w:val="LitZchn"/>
    <w:qFormat/>
    <w:rsid w:val="008005B7"/>
    <w:pPr>
      <w:spacing w:before="240"/>
      <w:jc w:val="center"/>
    </w:pPr>
    <w:rPr>
      <w:b/>
      <w:bCs/>
    </w:rPr>
  </w:style>
  <w:style w:type="character" w:customStyle="1" w:styleId="LitZchn">
    <w:name w:val="Ü_Lit Zchn"/>
    <w:link w:val="Lit"/>
    <w:rsid w:val="008005B7"/>
    <w:rPr>
      <w:b/>
      <w:bCs/>
    </w:rPr>
  </w:style>
  <w:style w:type="character" w:customStyle="1" w:styleId="AufzhlungNummerZchn">
    <w:name w:val="Aufzählung+Nummer Zchn"/>
    <w:basedOn w:val="AufzhlungZahlZchn"/>
    <w:link w:val="Auf2"/>
    <w:rsid w:val="00911B4B"/>
    <w:rPr>
      <w:i/>
      <w:iCs/>
    </w:rPr>
  </w:style>
  <w:style w:type="paragraph" w:customStyle="1" w:styleId="Lit0">
    <w:name w:val="Lit"/>
    <w:basedOn w:val="Standard"/>
    <w:link w:val="LiteraturangabeZchn"/>
    <w:qFormat/>
    <w:rsid w:val="008005B7"/>
    <w:pPr>
      <w:spacing w:before="0" w:line="240" w:lineRule="auto"/>
      <w:ind w:left="142" w:hanging="142"/>
    </w:pPr>
    <w:rPr>
      <w:sz w:val="18"/>
      <w:szCs w:val="18"/>
    </w:rPr>
  </w:style>
  <w:style w:type="character" w:customStyle="1" w:styleId="LiteraturangabeZchn">
    <w:name w:val="Literaturangabe Zchn"/>
    <w:link w:val="Lit0"/>
    <w:rsid w:val="008005B7"/>
    <w:rPr>
      <w:sz w:val="18"/>
      <w:szCs w:val="18"/>
    </w:rPr>
  </w:style>
  <w:style w:type="paragraph" w:customStyle="1" w:styleId="Anschrift">
    <w:name w:val="Anschrift"/>
    <w:basedOn w:val="Standard"/>
    <w:link w:val="AnschriftZchn"/>
    <w:qFormat/>
    <w:rsid w:val="00C77EB8"/>
    <w:pPr>
      <w:spacing w:before="0" w:after="0" w:line="240" w:lineRule="auto"/>
    </w:pPr>
  </w:style>
  <w:style w:type="character" w:styleId="Hyperlink">
    <w:name w:val="Hyperlink"/>
    <w:rsid w:val="00394F7B"/>
    <w:rPr>
      <w:color w:val="0000FF"/>
      <w:u w:val="single"/>
    </w:rPr>
  </w:style>
  <w:style w:type="character" w:customStyle="1" w:styleId="AnschriftZchn">
    <w:name w:val="Anschrift Zchn"/>
    <w:basedOn w:val="Absatz-Standardschriftart"/>
    <w:link w:val="Anschrift"/>
    <w:rsid w:val="00C77EB8"/>
  </w:style>
  <w:style w:type="character" w:customStyle="1" w:styleId="headtext">
    <w:name w:val="headtext"/>
    <w:rsid w:val="004C1AE9"/>
  </w:style>
  <w:style w:type="paragraph" w:styleId="Kopfzeile">
    <w:name w:val="header"/>
    <w:basedOn w:val="Standard"/>
    <w:link w:val="KopfzeileZchn"/>
    <w:rsid w:val="00E250A7"/>
    <w:pPr>
      <w:tabs>
        <w:tab w:val="center" w:pos="4536"/>
        <w:tab w:val="right" w:pos="9072"/>
      </w:tabs>
      <w:spacing w:before="0" w:after="0" w:line="240" w:lineRule="auto"/>
      <w:jc w:val="left"/>
    </w:pPr>
    <w:rPr>
      <w:rFonts w:ascii="Arial" w:hAnsi="Arial"/>
      <w:sz w:val="24"/>
      <w:szCs w:val="24"/>
    </w:rPr>
  </w:style>
  <w:style w:type="character" w:customStyle="1" w:styleId="KopfzeileZchn">
    <w:name w:val="Kopfzeile Zchn"/>
    <w:basedOn w:val="Absatz-Standardschriftart"/>
    <w:link w:val="Kopfzeile"/>
    <w:rsid w:val="00E250A7"/>
    <w:rPr>
      <w:rFonts w:ascii="Arial" w:hAnsi="Arial"/>
      <w:sz w:val="24"/>
      <w:szCs w:val="24"/>
    </w:rPr>
  </w:style>
  <w:style w:type="paragraph" w:styleId="Listenabsatz">
    <w:name w:val="List Paragraph"/>
    <w:basedOn w:val="Standard"/>
    <w:uiPriority w:val="34"/>
    <w:qFormat/>
    <w:rsid w:val="00A152CD"/>
    <w:pPr>
      <w:ind w:left="720"/>
      <w:contextualSpacing/>
    </w:pPr>
  </w:style>
  <w:style w:type="paragraph" w:styleId="Beschriftung">
    <w:name w:val="caption"/>
    <w:basedOn w:val="Standard"/>
    <w:next w:val="Standard"/>
    <w:unhideWhenUsed/>
    <w:qFormat/>
    <w:rsid w:val="000C2D89"/>
    <w:pPr>
      <w:spacing w:before="0" w:after="200" w:line="240" w:lineRule="auto"/>
    </w:pPr>
    <w:rPr>
      <w:i/>
      <w:iCs/>
      <w:color w:val="1F497D" w:themeColor="text2"/>
      <w:sz w:val="18"/>
      <w:szCs w:val="18"/>
    </w:rPr>
  </w:style>
  <w:style w:type="character" w:styleId="Platzhaltertext">
    <w:name w:val="Placeholder Text"/>
    <w:basedOn w:val="Absatz-Standardschriftart"/>
    <w:uiPriority w:val="99"/>
    <w:semiHidden/>
    <w:rsid w:val="00603793"/>
    <w:rPr>
      <w:color w:val="808080"/>
    </w:rPr>
  </w:style>
  <w:style w:type="paragraph" w:styleId="Fuzeile">
    <w:name w:val="footer"/>
    <w:basedOn w:val="Standard"/>
    <w:link w:val="FuzeileZchn"/>
    <w:unhideWhenUsed/>
    <w:rsid w:val="00C05425"/>
    <w:pPr>
      <w:tabs>
        <w:tab w:val="center" w:pos="4536"/>
        <w:tab w:val="right" w:pos="9072"/>
      </w:tabs>
      <w:spacing w:before="0" w:after="0" w:line="240" w:lineRule="auto"/>
    </w:pPr>
  </w:style>
  <w:style w:type="character" w:customStyle="1" w:styleId="FuzeileZchn">
    <w:name w:val="Fußzeile Zchn"/>
    <w:basedOn w:val="Absatz-Standardschriftart"/>
    <w:link w:val="Fuzeile"/>
    <w:rsid w:val="00C05425"/>
  </w:style>
  <w:style w:type="character" w:styleId="NichtaufgelsteErwhnung">
    <w:name w:val="Unresolved Mention"/>
    <w:basedOn w:val="Absatz-Standardschriftart"/>
    <w:uiPriority w:val="99"/>
    <w:semiHidden/>
    <w:unhideWhenUsed/>
    <w:rsid w:val="0020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athematik-sehen-und-verstehen.de"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athematikinformation.info/pdf2/MI155Walser"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31F5-BBC8-4934-96D9-326E7BE4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1689</Words>
  <Characters>10644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df</vt:lpstr>
    </vt:vector>
  </TitlesOfParts>
  <Company/>
  <LinksUpToDate>false</LinksUpToDate>
  <CharactersWithSpaces>12309</CharactersWithSpaces>
  <SharedDoc>false</SharedDoc>
  <HLinks>
    <vt:vector size="12" baseType="variant">
      <vt:variant>
        <vt:i4>5177462</vt:i4>
      </vt:variant>
      <vt:variant>
        <vt:i4>6</vt:i4>
      </vt:variant>
      <vt:variant>
        <vt:i4>0</vt:i4>
      </vt:variant>
      <vt:variant>
        <vt:i4>5</vt:i4>
      </vt:variant>
      <vt:variant>
        <vt:lpwstr>mailto:groland@math.uni-frankmund.de</vt:lpwstr>
      </vt:variant>
      <vt:variant>
        <vt:lpwstr/>
      </vt:variant>
      <vt:variant>
        <vt:i4>3670060</vt:i4>
      </vt:variant>
      <vt:variant>
        <vt:i4>3</vt:i4>
      </vt:variant>
      <vt:variant>
        <vt:i4>0</vt:i4>
      </vt:variant>
      <vt:variant>
        <vt:i4>5</vt:i4>
      </vt:variant>
      <vt:variant>
        <vt:lpwstr>http://bildungplus.forum-bildung.de/templates/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dc:title>
  <dc:creator>stephan</dc:creator>
  <cp:lastModifiedBy>Dörte Haftendorn</cp:lastModifiedBy>
  <cp:revision>2</cp:revision>
  <cp:lastPrinted>2021-08-28T20:42:00Z</cp:lastPrinted>
  <dcterms:created xsi:type="dcterms:W3CDTF">2021-09-03T09:51:00Z</dcterms:created>
  <dcterms:modified xsi:type="dcterms:W3CDTF">2021-09-03T09:51:00Z</dcterms:modified>
</cp:coreProperties>
</file>